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/>
      </w:pPr>
      <w:r>
        <w:rPr>
          <w:sz w:val="36"/>
          <w:szCs w:val="36"/>
        </w:rPr>
        <w:t xml:space="preserve">                                  </w:t>
      </w:r>
      <w:r>
        <w:rPr>
          <w:sz w:val="36"/>
          <w:szCs w:val="36"/>
          <w:u w:val="single"/>
        </w:rPr>
        <w:t>ORÇAMENTO</w:t>
      </w:r>
      <w:r>
        <w:rPr>
          <w:sz w:val="24"/>
          <w:szCs w:val="24"/>
          <w:u w:val="none"/>
        </w:rPr>
        <w:t>(Proc. 248/21)</w:t>
      </w:r>
    </w:p>
    <w:p>
      <w:pPr>
        <w:pStyle w:val="Ttulo1"/>
        <w:rPr/>
      </w:pPr>
      <w:r>
        <w:rPr/>
      </w:r>
    </w:p>
    <w:p>
      <w:pPr>
        <w:pStyle w:val="Ttul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Dados da empresa: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 xml:space="preserve">Firma Proponente: </w:t>
      </w:r>
      <w:r>
        <w:rPr>
          <w:rFonts w:cs="Arial" w:ascii="Arial" w:hAnsi="Arial"/>
          <w:b w:val="false"/>
          <w:bCs w:val="false"/>
          <w:sz w:val="24"/>
          <w:szCs w:val="24"/>
        </w:rPr>
        <w:t>......................................................................................…………..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 xml:space="preserve">Endereço: </w:t>
      </w: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 xml:space="preserve">Cidade: </w:t>
      </w:r>
      <w:r>
        <w:rPr>
          <w:rFonts w:cs="Arial" w:ascii="Arial" w:hAnsi="Arial"/>
          <w:sz w:val="24"/>
          <w:szCs w:val="24"/>
        </w:rPr>
        <w:t>......................................</w:t>
      </w:r>
      <w:r>
        <w:rPr>
          <w:rFonts w:cs="Arial" w:ascii="Arial" w:hAnsi="Arial"/>
          <w:b/>
          <w:bCs/>
          <w:sz w:val="24"/>
          <w:szCs w:val="24"/>
        </w:rPr>
        <w:t>Estado:</w:t>
      </w:r>
      <w:r>
        <w:rPr>
          <w:rFonts w:cs="Arial" w:ascii="Arial" w:hAnsi="Arial"/>
          <w:sz w:val="24"/>
          <w:szCs w:val="24"/>
        </w:rPr>
        <w:t xml:space="preserve"> ....................... </w:t>
      </w:r>
      <w:r>
        <w:rPr>
          <w:rFonts w:cs="Arial" w:ascii="Arial" w:hAnsi="Arial"/>
          <w:b/>
          <w:bCs/>
          <w:sz w:val="24"/>
          <w:szCs w:val="24"/>
        </w:rPr>
        <w:t xml:space="preserve">CEP: </w:t>
      </w:r>
      <w:r>
        <w:rPr>
          <w:rFonts w:cs="Arial" w:ascii="Arial" w:hAnsi="Arial"/>
          <w:sz w:val="24"/>
          <w:szCs w:val="24"/>
        </w:rPr>
        <w:t>...................................</w:t>
      </w:r>
      <w:r>
        <w:rPr>
          <w:rFonts w:cs="Arial" w:ascii="Arial" w:hAnsi="Arial"/>
          <w:b/>
          <w:bCs/>
          <w:sz w:val="24"/>
          <w:szCs w:val="24"/>
        </w:rPr>
        <w:t xml:space="preserve"> Telefone:</w:t>
      </w:r>
      <w:r>
        <w:rPr>
          <w:rFonts w:cs="Arial" w:ascii="Arial" w:hAnsi="Arial"/>
          <w:sz w:val="24"/>
          <w:szCs w:val="24"/>
        </w:rPr>
        <w:t xml:space="preserve"> ............................................</w:t>
      </w:r>
      <w:r>
        <w:rPr>
          <w:rFonts w:cs="Arial" w:ascii="Arial" w:hAnsi="Arial"/>
          <w:b/>
          <w:bCs/>
          <w:sz w:val="24"/>
          <w:szCs w:val="24"/>
        </w:rPr>
        <w:t>CNPJ:</w:t>
      </w:r>
      <w:r>
        <w:rPr>
          <w:rFonts w:cs="Arial" w:ascii="Arial" w:hAnsi="Arial"/>
          <w:sz w:val="24"/>
          <w:szCs w:val="24"/>
        </w:rPr>
        <w:t xml:space="preserve"> ........................................................   </w:t>
      </w:r>
      <w:r>
        <w:rPr>
          <w:rFonts w:cs="Arial" w:ascii="Arial" w:hAnsi="Arial"/>
          <w:b/>
          <w:bCs/>
          <w:sz w:val="24"/>
          <w:szCs w:val="24"/>
        </w:rPr>
        <w:t xml:space="preserve"> Insc. Estadual:</w:t>
      </w:r>
      <w:r>
        <w:rPr>
          <w:rFonts w:cs="Arial" w:ascii="Arial" w:hAnsi="Arial"/>
          <w:sz w:val="24"/>
          <w:szCs w:val="24"/>
        </w:rPr>
        <w:t xml:space="preserve">.....................................   </w:t>
      </w:r>
      <w:r>
        <w:rPr>
          <w:rFonts w:cs="Arial" w:ascii="Arial" w:hAnsi="Arial"/>
          <w:b/>
          <w:bCs/>
          <w:sz w:val="24"/>
          <w:szCs w:val="24"/>
        </w:rPr>
        <w:t xml:space="preserve"> Insc. Municipal:.</w:t>
      </w:r>
      <w:r>
        <w:rPr>
          <w:rFonts w:cs="Arial" w:ascii="Arial" w:hAnsi="Arial"/>
          <w:sz w:val="24"/>
          <w:szCs w:val="24"/>
        </w:rPr>
        <w:t>........................................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4"/>
          <w:szCs w:val="24"/>
        </w:rPr>
        <w:t>E-mail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:................................................................................………………………….......   </w:t>
      </w:r>
      <w:r>
        <w:rPr>
          <w:rFonts w:cs="Arial" w:ascii="Arial" w:hAnsi="Arial"/>
          <w:b/>
          <w:bCs/>
          <w:sz w:val="24"/>
          <w:szCs w:val="24"/>
        </w:rPr>
        <w:t xml:space="preserve"> FAX:</w:t>
      </w:r>
      <w:r>
        <w:rPr>
          <w:rFonts w:cs="Arial" w:ascii="Arial" w:hAnsi="Arial"/>
          <w:sz w:val="24"/>
          <w:szCs w:val="24"/>
        </w:rPr>
        <w:t>......................................................</w:t>
      </w:r>
      <w:r>
        <w:rPr>
          <w:rFonts w:cs="Arial" w:ascii="Arial" w:hAnsi="Arial"/>
          <w:b/>
          <w:bCs/>
          <w:sz w:val="24"/>
          <w:szCs w:val="24"/>
        </w:rPr>
        <w:t>Contato</w:t>
      </w:r>
      <w:r>
        <w:rPr>
          <w:rFonts w:cs="Arial" w:ascii="Arial" w:hAnsi="Arial"/>
          <w:sz w:val="24"/>
          <w:szCs w:val="24"/>
        </w:rPr>
        <w:t>:...........................................................</w:t>
      </w:r>
    </w:p>
    <w:p>
      <w:pPr>
        <w:pStyle w:val="Ttulo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Das Especificações</w:t>
      </w:r>
      <w:bookmarkStart w:id="0" w:name="_GoBack"/>
      <w:bookmarkEnd w:id="0"/>
      <w:r>
        <w:rPr>
          <w:rFonts w:ascii="Arial" w:hAnsi="Arial"/>
          <w:sz w:val="24"/>
          <w:szCs w:val="24"/>
        </w:rPr>
        <w:t>:</w:t>
      </w:r>
    </w:p>
    <w:p>
      <w:pPr>
        <w:pStyle w:val="Normal"/>
        <w:spacing w:lineRule="auto" w:line="240"/>
        <w:ind w:hanging="0"/>
        <w:rPr>
          <w:szCs w:val="24"/>
        </w:rPr>
      </w:pPr>
      <w:r>
        <w:rPr>
          <w:rStyle w:val="Fontepargpadro"/>
          <w:rFonts w:cs="Calibri" w:ascii="Calibri" w:hAnsi="Calibri" w:cstheme="minorHAnsi"/>
          <w:b/>
          <w:bCs/>
          <w:color w:val="000000"/>
          <w:sz w:val="20"/>
          <w:szCs w:val="24"/>
          <w:lang w:bidi="ar-SA"/>
        </w:rPr>
        <w:t>***</w:t>
      </w:r>
      <w:r>
        <w:rPr>
          <w:rStyle w:val="Fontepargpadro"/>
          <w:rFonts w:cs="Calibri" w:ascii="Calibri" w:hAnsi="Calibri" w:cstheme="minorHAnsi"/>
          <w:color w:val="000000"/>
          <w:sz w:val="20"/>
          <w:szCs w:val="24"/>
          <w:lang w:bidi="ar-SA"/>
        </w:rPr>
        <w:t xml:space="preserve"> Os fornecimentos serão solicitados na medida do necessário ao atendimento das atividades da CMR, não ultrapassando o preço estimado pela administração.</w:t>
      </w:r>
    </w:p>
    <w:tbl>
      <w:tblPr>
        <w:tblStyle w:val="TabeladeGradeClara"/>
        <w:tblW w:w="9124" w:type="dxa"/>
        <w:jc w:val="left"/>
        <w:tblInd w:w="-4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3"/>
        <w:gridCol w:w="988"/>
        <w:gridCol w:w="3635"/>
        <w:gridCol w:w="900"/>
        <w:gridCol w:w="1261"/>
        <w:gridCol w:w="1687"/>
      </w:tblGrid>
      <w:tr>
        <w:trPr>
          <w:trHeight w:val="242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b/>
                <w:b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Item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b/>
                <w:b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b/>
                <w:b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Quant.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b/>
                <w:b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Valor Unit.</w:t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b/>
                <w:b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Valor Total</w:t>
            </w:r>
          </w:p>
        </w:tc>
      </w:tr>
      <w:tr>
        <w:trPr>
          <w:trHeight w:val="231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Saco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Argamassa colante piso sobre piso – Uso interno cinza 20kg.</w:t>
            </w:r>
          </w:p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" w:cs="" w:cstheme="minorBidi" w:eastAsiaTheme="minorEastAsia"/>
                <w:color w:val="auto"/>
                <w:kern w:val="0"/>
                <w:sz w:val="16"/>
                <w:szCs w:val="16"/>
                <w:lang w:val="pt-BR" w:eastAsia="en-US" w:bidi="en-US"/>
              </w:rPr>
              <w:t>10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  <w:tr>
        <w:trPr>
          <w:trHeight w:val="210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Abraçadeiras formato U 25mm  com buchas e parafusos.</w:t>
            </w:r>
          </w:p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Abraçadeiras formato U 50 mm com buchas e parafusos.</w:t>
            </w:r>
          </w:p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" w:cs="" w:cstheme="minorBidi" w:eastAsiaTheme="minorEastAsia"/>
                <w:color w:val="auto"/>
                <w:kern w:val="0"/>
                <w:sz w:val="16"/>
                <w:szCs w:val="16"/>
                <w:lang w:val="pt-BR" w:eastAsia="en-US" w:bidi="en-US"/>
              </w:rPr>
              <w:t>08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M³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Areia – fina lavada, m3.</w:t>
            </w:r>
          </w:p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Anel de borracha p esgoto 40mm.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Arruela P/ flexível ¼.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Adesivo plástico para PVC- embalagem com 175 gr.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7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Bolsa para vaso sanitário PVC, tipo espude , com bitola de 40mm , para instalações hidráulicas.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Buchas para parede d- de plástico, nº 4 com parafuso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Buchas para parede d- de plástico, nº 6 com parafuso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Buchas para parede d- de plástico, nº 8 com parafuso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Buchas para parede d- de plástico, nº 10 com parafuso</w:t>
            </w:r>
          </w:p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36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 xml:space="preserve">Bacia Sanitária Convecional, saída vertical, formato oval  nas dimensões 39x39x45 Cor Branco 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Anel de Cera para bacia sanitária</w:t>
            </w:r>
          </w:p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263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10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10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10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100" w:after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15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100" w:after="0"/>
              <w:contextualSpacing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100" w:after="0"/>
              <w:contextualSpacing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100" w:after="0"/>
              <w:contextualSpacing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100" w:after="0"/>
              <w:contextualSpacing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</w:r>
          </w:p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Saco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Cimento portland comum (cpi) - composto de clínquer adicionado de sulfatos de cálcio, com resistência de 32 mpa, porcentagem em peso de clinquer+sulf. De cálcio de 100%, embalagem em sacos de papel tipo ¨kraft¨, com limite de porcentagem de resíduo insolúvel menor ou igual a 1%, com limite de porcentagem de perda ao fogo menor ou igual a 2%, com limite de porcentagem de oxido de magnésio menor ou igual a 6,5%, limite de porcentagem de tri oxido de enxofre menor ou igual a 4%, com limite de porcentagem de anidrido carbônico menor ou igual a 1%, c/ tempo de início/fim de pega, respectivamente maior ou igual a 1 hora/menor ou igual a 10 hs, com sigla cpi-32, com limite de expansibilidade a quente/frio menor ou igual a 5 mm, normatização conforme NBR5732, mb-2295, eb-1, etc., limite de resíduo na peneira 75 milimetra menor ou igual a 12%, com limite de área especifica maior ou igual a 260 m2/kg, saco com 50 kg.</w:t>
            </w:r>
          </w:p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73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Cap de PVC rígido para esgoto predial- fabricação conforme NBR 5688/77, serie reforçada, com diâmetro nominal de 100mm, na cor branco.</w:t>
            </w:r>
          </w:p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Cola tipo cola plástica, para ser aplicada em PVC embalado em tubo 175 gr.</w:t>
            </w:r>
          </w:p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7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Cola de silicone, para vidro, plástico, alumínio, devendo ser fornecidos em tubos de 50 grs.</w:t>
            </w:r>
          </w:p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Dobradiça de ferro cromado medindo 3 ½ pol. Devendo a dobradiça ser entregue com anel e parafuso polido.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7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Diluente 1 litro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Flange soldável 50 mm x1.1/2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kit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Fita veda rosca 18mm x10 m norma de referência ABNT NBR 16368.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lata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Grelha quadrada inox sem caixilho com fecho cromada 10 cm.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vara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 xml:space="preserve">Grelha quadrada ferro 20x20cm 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Grelha quadrada  ferro 15x15 cm .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Grelha quadrada plástico ecológico 10 cm cor branco.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Gesso emp ó secagem rápida  pacotes de 1kg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Joelho - de PVC, soldável, branco, para esgoto, com 90 graus, diâmetro nominal: 25mm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78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Joelho 45 gr - PVC soldável, dn 25mm.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Joelho 90 gr - de PVC, com bitola de 25mm x 1/2 com encaixe do tipo soldável e rosqueavel, para ser utilizada em instalações hidráulicas de água fria.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 xml:space="preserve">Lixa para madeira  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73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Luva - confeccionado em PVC azul lr, com diâmetro de dn 25x1/2, com encaixe tipo bucha de latão.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Luva - correr PVC, para água fria 25mm.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7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Massa corrida 26 l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Unid.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Manta asfáltica rolo de 30 cm de largura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/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Pregos  com cabeça 18x27 1 kg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/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Pregos com cabeça 16x24 1Kg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/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 xml:space="preserve">Piso cerâmico 61x61 cm cor branco 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60m²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" w:cs="" w:cstheme="minorBidi" w:eastAsiaTheme="minorEastAsia"/>
                <w:color w:val="auto"/>
                <w:kern w:val="0"/>
                <w:sz w:val="16"/>
                <w:szCs w:val="16"/>
                <w:lang w:val="pt-BR" w:eastAsia="en-US" w:bidi="en-US"/>
              </w:rPr>
              <w:t>39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/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Revestimento para cozinha na cor branco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74m²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/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Pincel multiuso 2’’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eastAsia="" w:cs="" w:cstheme="minorBidi" w:eastAsiaTheme="minorEastAsia"/>
                <w:color w:val="auto"/>
                <w:kern w:val="0"/>
                <w:sz w:val="16"/>
                <w:szCs w:val="16"/>
                <w:lang w:val="pt-BR" w:eastAsia="en-US" w:bidi="en-US"/>
              </w:rPr>
              <w:t>1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Pasta lubrificante 400 grs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eastAsia="" w:cs="" w:cstheme="minorBidi" w:eastAsiaTheme="minorEastAsia"/>
                <w:color w:val="auto"/>
                <w:kern w:val="0"/>
                <w:sz w:val="16"/>
                <w:szCs w:val="16"/>
                <w:lang w:val="pt-BR" w:eastAsia="en-US" w:bidi="en-US"/>
              </w:rPr>
              <w:t>2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/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Rejunte acrilico impermeavel cor cinza 1kg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eastAsia="" w:cs="" w:cstheme="minorBidi" w:eastAsiaTheme="minorEastAsia"/>
                <w:color w:val="auto"/>
                <w:kern w:val="0"/>
                <w:sz w:val="16"/>
                <w:szCs w:val="16"/>
                <w:lang w:val="pt-BR" w:eastAsia="en-US" w:bidi="en-US"/>
              </w:rPr>
              <w:t>3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/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Rejunte acrilico impermeavel cor preto 1kg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rFonts w:eastAsia="" w:cs="" w:cstheme="minorBidi" w:eastAsiaTheme="minorEastAsia"/>
                <w:color w:val="auto"/>
                <w:kern w:val="0"/>
                <w:sz w:val="16"/>
                <w:szCs w:val="16"/>
                <w:lang w:val="pt-BR" w:eastAsia="en-US" w:bidi="en-US"/>
              </w:rPr>
              <w:t>4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/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Rejunte acrílico impermeável cor branco 1kg.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" w:cs="" w:cstheme="minorBidi" w:eastAsiaTheme="minorEastAsia"/>
                <w:color w:val="auto"/>
                <w:kern w:val="0"/>
                <w:sz w:val="16"/>
                <w:szCs w:val="16"/>
                <w:lang w:val="pt-BR" w:eastAsia="en-US" w:bidi="en-US"/>
              </w:rPr>
              <w:t>45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/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Rolo de lã oliéster com cabo. 23 cm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" w:cs="" w:cstheme="minorBidi" w:eastAsiaTheme="minorEastAsia"/>
                <w:color w:val="auto"/>
                <w:kern w:val="0"/>
                <w:sz w:val="16"/>
                <w:szCs w:val="16"/>
                <w:lang w:val="pt-BR" w:eastAsia="en-US" w:bidi="en-US"/>
              </w:rPr>
              <w:t>46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/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 xml:space="preserve">Rolo zero gota com cabo 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" w:cs="" w:cstheme="minorBidi" w:eastAsiaTheme="minorEastAsia"/>
                <w:color w:val="auto"/>
                <w:kern w:val="0"/>
                <w:sz w:val="16"/>
                <w:szCs w:val="16"/>
                <w:lang w:val="pt-BR" w:eastAsia="en-US" w:bidi="en-US"/>
              </w:rPr>
              <w:t>47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/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Registro esfera soldável com união 25mm.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2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" w:cs="" w:cstheme="minorBidi" w:eastAsiaTheme="minorEastAsia"/>
                <w:color w:val="auto"/>
                <w:kern w:val="0"/>
                <w:sz w:val="16"/>
                <w:szCs w:val="16"/>
                <w:lang w:val="pt-BR" w:eastAsia="en-US" w:bidi="en-US"/>
              </w:rPr>
              <w:t>48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/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Web"/>
              <w:spacing w:lineRule="auto" w:line="240" w:beforeAutospacing="0" w:before="0" w:afterAutospacing="0" w:after="150"/>
              <w:ind w:hanging="0"/>
              <w:contextualSpacing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Sifão extensível para lavatório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/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 xml:space="preserve">Silicone banheiro e cozinha incolor, silicone de cura acética, multiuso, antifungo com aplicador </w:t>
            </w:r>
          </w:p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/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Tubo de PVC para esgoto 100 mm série normal 3 metros</w:t>
            </w:r>
          </w:p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/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Tubo de PVC para esgoto 50mm série normal 3 metros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/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Tubo de PVC soldável 25mm para água fria cor marrom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47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/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Torneira de parede para cozinha bica alta, com bica móvel cromado.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36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/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Tinta acrílica para área interna lavável, antimanchas cor branco neve 18 litros.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99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/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  <w:t>Tinta esmalte sintético para madeira 0,9 litros  -  branco gelo</w:t>
            </w:r>
          </w:p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21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rFonts w:eastAsia="" w:cs="" w:cstheme="minorBidi" w:eastAsiaTheme="minorEastAsia"/>
                <w:color w:val="auto"/>
                <w:kern w:val="0"/>
                <w:sz w:val="16"/>
                <w:szCs w:val="16"/>
                <w:lang w:val="pt-BR" w:eastAsia="en-US" w:bidi="en-US"/>
              </w:rPr>
              <w:t>56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/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  <w:shd w:fill="FFFFFF" w:val="clear"/>
              </w:rPr>
              <w:t>Torneira de mesa para lavatório ou pia de banheiro, com acionamento automático. Acionamento através do pressionamento do botão. Fechamento automático após 10 segundos. Sem regulagem de vazão. Material: Metal Cromado.</w:t>
            </w:r>
          </w:p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cs="Calibri" w:ascii="Calibri" w:hAnsi="Calibri"/>
                <w:bCs/>
                <w:sz w:val="16"/>
                <w:szCs w:val="16"/>
              </w:rPr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</w:p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21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Mictório individual aço inox 50 cm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21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Joelhos 45 polegadas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21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Curvas 90 polegadas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21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Aneis 50 mm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21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Luva de correr 50 mm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21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Luva simples 50 mm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21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Adaptador 40 mm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21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Adaptador 50 mm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621" w:hRule="atLeast"/>
        </w:trPr>
        <w:tc>
          <w:tcPr>
            <w:tcW w:w="653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988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Unid</w:t>
            </w:r>
          </w:p>
        </w:tc>
        <w:tc>
          <w:tcPr>
            <w:tcW w:w="3635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Reparos de Válvulas Hidra Deca 25x25</w:t>
            </w:r>
          </w:p>
        </w:tc>
        <w:tc>
          <w:tcPr>
            <w:tcW w:w="900" w:type="dxa"/>
            <w:tcBorders/>
          </w:tcPr>
          <w:p>
            <w:pPr>
              <w:pStyle w:val="Normal"/>
              <w:spacing w:lineRule="auto" w:line="240" w:before="100" w:after="0"/>
              <w:ind w:hanging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61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7" w:type="dxa"/>
            <w:tcBorders/>
          </w:tcPr>
          <w:p>
            <w:pPr>
              <w:pStyle w:val="Normal"/>
              <w:spacing w:lineRule="auto" w:line="240" w:before="10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Corpodotextorecuado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Arial" w:hAnsi="Arial"/>
          <w:b/>
          <w:sz w:val="24"/>
          <w:szCs w:val="24"/>
        </w:rPr>
        <w:t>Para tanto, nos propomos a fornecer os materiais / executar os serviços pelos preços unitários constantes da planilha de quantitativos e pelo preço global de:</w:t>
      </w:r>
    </w:p>
    <w:p>
      <w:pPr>
        <w:pStyle w:val="Corpodotextorecuado"/>
        <w:tabs>
          <w:tab w:val="clear" w:pos="708"/>
          <w:tab w:val="left" w:pos="851" w:leader="none"/>
          <w:tab w:val="left" w:pos="1701" w:leader="none"/>
        </w:tabs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Arial" w:hAnsi="Arial"/>
          <w:b/>
          <w:sz w:val="24"/>
          <w:szCs w:val="24"/>
        </w:rPr>
        <w:t xml:space="preserve"> </w:t>
      </w:r>
      <w:r>
        <w:rPr>
          <w:rFonts w:cs="Times New Roman" w:ascii="Arial" w:hAnsi="Arial"/>
          <w:b/>
          <w:sz w:val="24"/>
          <w:szCs w:val="24"/>
        </w:rPr>
        <w:t>R$__________________(____________________________________________).</w:t>
      </w:r>
    </w:p>
    <w:p>
      <w:pPr>
        <w:pStyle w:val="Normal"/>
        <w:tabs>
          <w:tab w:val="clear" w:pos="708"/>
          <w:tab w:val="left" w:pos="5516" w:leader="none"/>
        </w:tabs>
        <w:rPr>
          <w:rFonts w:ascii="Courier New" w:hAnsi="Courier New" w:cs="Courier New"/>
          <w:b/>
          <w:b/>
        </w:rPr>
      </w:pPr>
      <w:r>
        <w:rPr>
          <w:rFonts w:cs="Courier New" w:ascii="Arial" w:hAnsi="Arial"/>
          <w:b/>
          <w:sz w:val="24"/>
          <w:szCs w:val="24"/>
        </w:rPr>
        <w:tab/>
      </w:r>
    </w:p>
    <w:p>
      <w:pPr>
        <w:pStyle w:val="Normal"/>
        <w:rPr>
          <w:highlight w:val="yellow"/>
        </w:rPr>
      </w:pPr>
      <w:r>
        <w:rPr>
          <w:rFonts w:ascii="Arial" w:hAnsi="Arial"/>
          <w:sz w:val="24"/>
          <w:szCs w:val="24"/>
        </w:rPr>
        <w:t xml:space="preserve">Declaro que os serviços e materiais oferecidos nesta </w:t>
      </w:r>
      <w:r>
        <w:rPr>
          <w:rFonts w:ascii="Arial" w:hAnsi="Arial"/>
          <w:b/>
          <w:i/>
          <w:sz w:val="24"/>
          <w:szCs w:val="24"/>
        </w:rPr>
        <w:t xml:space="preserve">Proposta Comercial </w:t>
      </w:r>
      <w:r>
        <w:rPr>
          <w:rFonts w:ascii="Arial" w:hAnsi="Arial"/>
          <w:sz w:val="24"/>
          <w:szCs w:val="24"/>
        </w:rPr>
        <w:t>atendem as especificações mínimas solicitadas e</w:t>
      </w:r>
      <w:r>
        <w:rPr>
          <w:rFonts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estão de acordo com todas as normas e disposições dos órgãos reguladores vigentes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 nos responsabilizamos pelos dados fornecidos a CÂMARA MUNICIPAL DE RESENDE – CMR/RJ, assim como por sua fidedignidade.</w:t>
      </w:r>
    </w:p>
    <w:p>
      <w:pPr>
        <w:pStyle w:val="Normal"/>
        <w:rPr>
          <w:highlight w:val="yellow"/>
        </w:rPr>
      </w:pPr>
      <w:r>
        <w:rPr>
          <w:highlight w:val="yellow"/>
        </w:rPr>
        <mc:AlternateContent>
          <mc:Choice Requires="wps">
            <w:drawing>
              <wp:anchor behindDoc="0" distT="0" distB="0" distL="112395" distR="112395" simplePos="0" locked="0" layoutInCell="1" allowOverlap="1" relativeHeight="6" wp14:anchorId="7524767C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3214370" cy="1728470"/>
                <wp:effectExtent l="9525" t="10160" r="9525" b="889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72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CCCCCC"/>
                              <w:jc w:val="center"/>
                              <w:rPr>
                                <w:rFonts w:ascii="Courier New" w:hAnsi="Courier New" w:cs="Courier New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120"/>
                              <w:contextualSpacing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0.45pt;margin-top:0.45pt;width:253pt;height:136pt" wp14:anchorId="7524767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CCCCCC"/>
                        <w:jc w:val="center"/>
                        <w:rPr>
                          <w:rFonts w:ascii="Courier New" w:hAnsi="Courier New" w:cs="Courier New"/>
                          <w:b/>
                          <w:b/>
                          <w:bCs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spacing w:before="0" w:after="120"/>
                        <w:contextualSpacing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 w:val="24"/>
          <w:szCs w:val="24"/>
        </w:rPr>
        <w:t>Data:   _______/____/_________</w: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 w:val="24"/>
          <w:szCs w:val="24"/>
        </w:rPr>
        <w:t>Assinatura:_____________________________</w: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 w:val="24"/>
          <w:szCs w:val="24"/>
        </w:rPr>
        <w:t>Carimbo ou Nome Legível:</w:t>
      </w:r>
    </w:p>
    <w:p>
      <w:pPr>
        <w:pStyle w:val="Normal"/>
        <w:widowControl/>
        <w:suppressAutoHyphens w:val="false"/>
        <w:bidi w:val="0"/>
        <w:spacing w:lineRule="auto" w:line="360" w:before="0" w:after="12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851" w:top="908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38081065"/>
    </w:sdtPr>
    <w:sdtContent>
      <w:p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>
        <w:pPr>
          <w:pStyle w:val="Rodap"/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cs="Arial"/>
            <w:b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  <w:tab/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sz w:val="16"/>
            <w:i/>
            <w:rFonts w:cs="Arial"/>
          </w:rPr>
          <w:instrText> PAGE </w:instrText>
        </w:r>
        <w:r>
          <w:rPr>
            <w:sz w:val="16"/>
            <w:i/>
            <w:rFonts w:cs="Arial"/>
          </w:rPr>
          <w:fldChar w:fldCharType="separate"/>
        </w:r>
        <w:r>
          <w:rPr>
            <w:sz w:val="16"/>
            <w:i/>
            <w:rFonts w:cs="Arial"/>
          </w:rPr>
          <w:t>4</w:t>
        </w:r>
        <w:r>
          <w:rPr>
            <w:sz w:val="16"/>
            <w:i/>
            <w:rFonts w:cs="Arial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sz w:val="16"/>
            <w:i/>
            <w:b/>
            <w:rFonts w:cs="Arial"/>
          </w:rPr>
          <w:instrText> NUMPAGES </w:instrText>
        </w:r>
        <w:r>
          <w:rPr>
            <w:sz w:val="16"/>
            <w:i/>
            <w:b/>
            <w:rFonts w:cs="Arial"/>
          </w:rPr>
          <w:fldChar w:fldCharType="separate"/>
        </w:r>
        <w:r>
          <w:rPr>
            <w:sz w:val="16"/>
            <w:i/>
            <w:b/>
            <w:rFonts w:cs="Arial"/>
          </w:rPr>
          <w:t>4</w:t>
        </w:r>
        <w:r>
          <w:rPr>
            <w:sz w:val="16"/>
            <w:i/>
            <w:b/>
            <w:rFonts w:cs="Arial"/>
          </w:rPr>
          <w:fldChar w:fldCharType="end"/>
        </w:r>
      </w:p>
      <w:p>
        <w:pPr>
          <w:pStyle w:val="Rodap"/>
          <w:spacing w:lineRule="auto" w:line="240" w:before="0" w:after="0"/>
          <w:contextualSpacing/>
          <w:jc w:val="center"/>
          <w:rPr>
            <w:rFonts w:cs="Arial"/>
            <w:b/>
            <w:b/>
          </w:rPr>
        </w:pPr>
        <w:r>
          <w:rPr>
            <w:rFonts w:cs="Arial"/>
            <w:b/>
          </w:rPr>
        </w:r>
      </w:p>
      <w:p>
        <w:pPr>
          <w:pStyle w:val="Rodap"/>
          <w:spacing w:lineRule="auto" w:line="240" w:before="0" w:after="0"/>
          <w:contextualSpacing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lgerian" w:hAnsi="Algerian"/>
        <w:sz w:val="40"/>
        <w:szCs w:val="32"/>
      </w:rPr>
      <w:drawing>
        <wp:anchor behindDoc="1" distT="0" distB="0" distL="0" distR="0" simplePos="0" locked="0" layoutInCell="1" allowOverlap="1" relativeHeight="5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rial" w:hAnsi="Arial"/>
        <w:b/>
        <w:bCs/>
        <w:sz w:val="24"/>
        <w:szCs w:val="24"/>
      </w:rPr>
      <w:t>Câmara Municipal de Resende /RJ</w:t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" w:hAnsi="Arial"/>
        <w:b/>
        <w:bCs/>
        <w:sz w:val="24"/>
        <w:szCs w:val="24"/>
      </w:rPr>
      <w:t>Pça Oliveira Botelho, 262 – Centro – CEP 27.511-150 – Telefax: (24) 3354-9250</w:t>
    </w:r>
  </w:p>
  <w:p>
    <w:pPr>
      <w:pStyle w:val="Cabealho"/>
      <w:spacing w:before="0" w:after="120"/>
      <w:contextualSpacing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 w:val="24"/>
        <w:szCs w:val="24"/>
      </w:rPr>
      <w:tab/>
    </w:r>
    <w:r>
      <w:rPr>
        <w:rStyle w:val="LinkdaInternet"/>
        <w:rFonts w:eastAsia="" w:cs="" w:ascii="Arial" w:hAnsi="Arial"/>
        <w:b/>
        <w:bCs/>
        <w:color w:val="0000FF"/>
        <w:kern w:val="0"/>
        <w:sz w:val="24"/>
        <w:szCs w:val="24"/>
        <w:u w:val="single"/>
        <w:lang w:val="pt-BR" w:eastAsia="en-US" w:bidi="en-US"/>
      </w:rPr>
      <w:t>compras@cmresende.rj.gov.br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1dc4"/>
    <w:pPr>
      <w:widowControl/>
      <w:suppressAutoHyphens w:val="false"/>
      <w:bidi w:val="0"/>
      <w:spacing w:lineRule="auto" w:line="360" w:before="0" w:after="120"/>
      <w:ind w:firstLine="709"/>
      <w:contextualSpacing/>
      <w:jc w:val="both"/>
    </w:pPr>
    <w:rPr>
      <w:rFonts w:ascii="Times New Roman" w:hAnsi="Times New Roman" w:eastAsia="" w:cs="" w:cstheme="minorBidi" w:eastAsiaTheme="minorEastAsia"/>
      <w:color w:val="auto"/>
      <w:kern w:val="0"/>
      <w:sz w:val="24"/>
      <w:szCs w:val="22"/>
      <w:lang w:val="pt-BR" w:eastAsia="en-US" w:bidi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Rule="auto" w:line="240"/>
      <w:ind w:hanging="0"/>
      <w:outlineLvl w:val="0"/>
    </w:pPr>
    <w:rPr>
      <w:rFonts w:eastAsia="" w:cs="" w:cstheme="majorBidi" w:eastAsiaTheme="majorEastAsia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lineRule="auto" w:line="240" w:before="120" w:after="120"/>
      <w:ind w:hanging="0"/>
      <w:contextualSpacing/>
      <w:jc w:val="left"/>
      <w:outlineLvl w:val="1"/>
    </w:pPr>
    <w:rPr>
      <w:rFonts w:eastAsia="" w:cs="" w:cstheme="majorBidi" w:eastAsiaTheme="majorEastAsia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lineRule="auto" w:line="240" w:before="200" w:after="80"/>
      <w:ind w:hanging="0"/>
      <w:contextualSpacing/>
      <w:jc w:val="left"/>
      <w:outlineLvl w:val="2"/>
    </w:pPr>
    <w:rPr>
      <w:rFonts w:eastAsia="" w:cs="" w:cstheme="majorBidi" w:eastAsiaTheme="majorEastAsia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lineRule="auto" w:line="240" w:before="120" w:after="120"/>
      <w:ind w:hanging="0"/>
      <w:contextualSpacing/>
      <w:jc w:val="left"/>
      <w:outlineLvl w:val="3"/>
    </w:pPr>
    <w:rPr>
      <w:rFonts w:eastAsia="" w:cs="" w:cstheme="majorBidi" w:eastAsiaTheme="majorEastAsia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Rule="auto" w:line="240"/>
      <w:ind w:hanging="0"/>
      <w:jc w:val="left"/>
      <w:outlineLvl w:val="4"/>
    </w:pPr>
    <w:rPr>
      <w:rFonts w:eastAsia="" w:cs="" w:cstheme="majorBidi" w:eastAsiaTheme="majorEastAsia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hanging="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hanging="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hanging="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hanging="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e30f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30f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styleId="TtuloCMRChar" w:customStyle="1">
    <w:name w:val="Título CMR Char"/>
    <w:basedOn w:val="DefaultParagraphFont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3b0457"/>
    <w:rPr>
      <w:color w:val="808080"/>
    </w:rPr>
  </w:style>
  <w:style w:type="character" w:styleId="DocumentosCMRChar" w:customStyle="1">
    <w:name w:val="Documentos CMR Char"/>
    <w:basedOn w:val="DefaultParagraphFont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unhideWhenUsed/>
    <w:qFormat/>
    <w:rsid w:val="00586fa3"/>
    <w:rPr>
      <w:rFonts w:eastAsia="" w:cs="" w:cstheme="minorBidi" w:eastAsiaTheme="minorEastAsia"/>
      <w:bCs w:val="false"/>
      <w:iCs w:val="false"/>
      <w:szCs w:val="22"/>
      <w:lang w:val="pt-BR"/>
    </w:rPr>
  </w:style>
  <w:style w:type="character" w:styleId="Arial11bold" w:customStyle="1">
    <w:name w:val="arial11bold"/>
    <w:basedOn w:val="DefaultParagraphFont"/>
    <w:qFormat/>
    <w:rsid w:val="00bd63cd"/>
    <w:rPr/>
  </w:style>
  <w:style w:type="character" w:styleId="Appleconvertedspace" w:customStyle="1">
    <w:name w:val="apple-converted-space"/>
    <w:basedOn w:val="DefaultParagraphFont"/>
    <w:qFormat/>
    <w:rsid w:val="00bd63cd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362ead"/>
    <w:rPr>
      <w:rFonts w:ascii="Courier New" w:hAnsi="Courier New" w:cs="Courier New"/>
      <w:i/>
    </w:rPr>
  </w:style>
  <w:style w:type="character" w:styleId="LinkdaInternet">
    <w:name w:val="Link da Internet"/>
    <w:basedOn w:val="DefaultParagraphFont"/>
    <w:uiPriority w:val="99"/>
    <w:rsid w:val="00362ead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8e2ccc"/>
    <w:rPr>
      <w:rFonts w:ascii="Times New Roman" w:hAnsi="Times New Roman" w:eastAsia="" w:cs="" w:cstheme="majorBidi" w:eastAsiaTheme="majorEastAsia"/>
      <w:b/>
      <w:bCs/>
      <w:sz w:val="28"/>
      <w:szCs w:val="24"/>
      <w:lang w:val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8e2ccc"/>
    <w:rPr>
      <w:rFonts w:ascii="Times New Roman" w:hAnsi="Times New Roman" w:eastAsia="" w:cs="" w:cstheme="majorBidi" w:eastAsiaTheme="majorEastAsia"/>
      <w:i/>
      <w:iCs/>
      <w:sz w:val="24"/>
      <w:szCs w:val="24"/>
      <w:lang w:val="pt-BR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8e2ccc"/>
    <w:rPr>
      <w:rFonts w:ascii="Times New Roman" w:hAnsi="Times New Roman" w:eastAsia="" w:cs="" w:cstheme="majorBidi" w:eastAsiaTheme="majorEastAsia"/>
      <w:b/>
      <w:i/>
      <w:sz w:val="24"/>
      <w:lang w:val="pt-BR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TtuloChar" w:customStyle="1">
    <w:name w:val="Título Char"/>
    <w:basedOn w:val="DefaultParagraphFont"/>
    <w:link w:val="Ttulo"/>
    <w:uiPriority w:val="10"/>
    <w:qFormat/>
    <w:rsid w:val="008e2ccc"/>
    <w:rPr>
      <w:rFonts w:ascii="Times New Roman" w:hAnsi="Times New Roman" w:eastAsia="" w:cs="" w:cstheme="majorBidi" w:eastAsiaTheme="majorEastAsia"/>
      <w:b/>
      <w:i/>
      <w:iCs/>
      <w:sz w:val="36"/>
      <w:szCs w:val="60"/>
      <w:lang w:val="pt-BR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Strong">
    <w:name w:val="Strong"/>
    <w:basedOn w:val="DefaultParagraphFont"/>
    <w:uiPriority w:val="22"/>
    <w:qFormat/>
    <w:rsid w:val="008e2ccc"/>
    <w:rPr>
      <w:b/>
      <w:bCs/>
      <w:spacing w:val="0"/>
    </w:rPr>
  </w:style>
  <w:style w:type="character" w:styleId="Nfase">
    <w:name w:val="Ênfase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8e2ccc"/>
    <w:rPr>
      <w:rFonts w:ascii="Times New Roman" w:hAnsi="Times New Roman" w:eastAsia="" w:cs="" w:cstheme="majorBidi" w:eastAsiaTheme="majorEastAsia"/>
      <w:i/>
      <w:iCs/>
      <w:color w:val="5A5A5A" w:themeColor="text1" w:themeTint="a5"/>
      <w:sz w:val="24"/>
      <w:lang w:val="pt-BR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8e2ccc"/>
    <w:rPr>
      <w:rFonts w:ascii="Garamond" w:hAnsi="Garamond" w:eastAsia="" w:cs="" w:cstheme="majorBidi" w:eastAsiaTheme="majorEastAsia"/>
      <w:iCs/>
      <w:sz w:val="24"/>
      <w:szCs w:val="24"/>
      <w:lang w:val="pt-BR"/>
    </w:rPr>
  </w:style>
  <w:style w:type="character" w:styleId="SubtleEmphasis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IntenseEmphasis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SubtleReference">
    <w:name w:val="Subtle Reference"/>
    <w:uiPriority w:val="31"/>
    <w:qFormat/>
    <w:rsid w:val="008e2cc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BookTitle">
    <w:name w:val="Book Title"/>
    <w:basedOn w:val="DefaultParagraphFont"/>
    <w:uiPriority w:val="33"/>
    <w:qFormat/>
    <w:rsid w:val="008e2ccc"/>
    <w:rPr>
      <w:rFonts w:ascii="Times New Roman" w:hAnsi="Times New Roman" w:cs="" w:cstheme="majorBidi"/>
      <w:b/>
      <w:bCs/>
      <w:i/>
      <w:iCs/>
      <w:color w:val="auto"/>
      <w:lang w:val="pt-BR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e30f3"/>
    <w:pPr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SemEspaamentoChar"/>
    <w:autoRedefine/>
    <w:uiPriority w:val="1"/>
    <w:qFormat/>
    <w:rsid w:val="008e2ccc"/>
    <w:pPr>
      <w:spacing w:lineRule="auto" w:line="240"/>
      <w:ind w:hanging="0"/>
    </w:pPr>
    <w:rPr/>
  </w:style>
  <w:style w:type="paragraph" w:styleId="TtuloCMR" w:customStyle="1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styleId="DocumentosCMR" w:customStyle="1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Corpodotextorecuad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  <w:contextualSpacing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autoRedefine/>
    <w:uiPriority w:val="34"/>
    <w:qFormat/>
    <w:rsid w:val="008e2ccc"/>
    <w:pPr/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8e2ccc"/>
    <w:pPr/>
    <w:rPr>
      <w:b/>
      <w:bCs/>
      <w:sz w:val="18"/>
      <w:szCs w:val="18"/>
    </w:rPr>
  </w:style>
  <w:style w:type="paragraph" w:styleId="Ttulododocumento">
    <w:name w:val="Title"/>
    <w:basedOn w:val="Normal"/>
    <w:next w:val="Normal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Rule="auto" w:line="240"/>
      <w:ind w:hanging="0"/>
      <w:jc w:val="center"/>
    </w:pPr>
    <w:rPr>
      <w:rFonts w:eastAsia="" w:cs="" w:cstheme="majorBidi" w:eastAsiaTheme="majorEastAsia"/>
      <w:b/>
      <w:i/>
      <w:iCs/>
      <w:sz w:val="36"/>
      <w:szCs w:val="60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hanging="0"/>
      <w:contextualSpacing/>
      <w:jc w:val="right"/>
    </w:pPr>
    <w:rPr>
      <w:rFonts w:ascii="Times" w:hAnsi="Times"/>
      <w:i/>
      <w:iCs/>
      <w:szCs w:val="24"/>
    </w:rPr>
  </w:style>
  <w:style w:type="paragraph" w:styleId="Quote">
    <w:name w:val="Quote"/>
    <w:basedOn w:val="Normal"/>
    <w:next w:val="Normal"/>
    <w:link w:val="CitaoChar"/>
    <w:autoRedefine/>
    <w:uiPriority w:val="29"/>
    <w:qFormat/>
    <w:rsid w:val="008e2ccc"/>
    <w:pPr>
      <w:spacing w:lineRule="auto" w:line="240"/>
      <w:ind w:left="709" w:firstLine="357"/>
    </w:pPr>
    <w:rPr>
      <w:rFonts w:eastAsia="" w:cs="" w:cstheme="majorBidi" w:eastAsiaTheme="majorEastAsia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lineRule="auto" w:line="240" w:before="120" w:after="120"/>
      <w:ind w:left="1134" w:right="1134" w:firstLine="709"/>
      <w:contextualSpacing/>
    </w:pPr>
    <w:rPr>
      <w:rFonts w:ascii="Garamond" w:hAnsi="Garamond" w:eastAsia="" w:cs="" w:cstheme="majorBidi" w:eastAsiaTheme="majorEastAsia"/>
      <w:iCs/>
      <w:szCs w:val="24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8e2ccc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e30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LibreOffice/6.4.1.2$Windows_X86_64 LibreOffice_project/4d224e95b98b138af42a64d84056446d09082932</Application>
  <Pages>4</Pages>
  <Words>1084</Words>
  <Characters>5834</Characters>
  <CharactersWithSpaces>6710</CharactersWithSpaces>
  <Paragraphs>288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2020-08-07T19:34:00Z</dcterms:created>
  <dc:creator>Helenice Barreto</dc:creator>
  <dc:description/>
  <dc:language>pt-BR</dc:language>
  <cp:lastModifiedBy/>
  <dcterms:modified xsi:type="dcterms:W3CDTF">2021-06-08T13:50:41Z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