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(271/21)</w:t>
      </w:r>
    </w:p>
    <w:p>
      <w:pPr>
        <w:pStyle w:val="Ttulo1"/>
        <w:rPr/>
      </w:pPr>
      <w:r>
        <w:rPr/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Firma Proponente: </w:t>
      </w:r>
      <w:r>
        <w:rPr>
          <w:rFonts w:cs="Arial" w:ascii="Arial" w:hAnsi="Arial"/>
          <w:b w:val="false"/>
          <w:bCs w:val="false"/>
          <w:sz w:val="24"/>
          <w:szCs w:val="24"/>
        </w:rPr>
        <w:t>......................................................................................…………..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Cidade: </w:t>
      </w:r>
      <w:r>
        <w:rPr>
          <w:rFonts w:cs="Arial" w:ascii="Arial" w:hAnsi="Arial"/>
          <w:sz w:val="24"/>
          <w:szCs w:val="24"/>
        </w:rPr>
        <w:t>......................................</w:t>
      </w:r>
      <w:r>
        <w:rPr>
          <w:rFonts w:cs="Arial" w:ascii="Arial" w:hAnsi="Arial"/>
          <w:b/>
          <w:bCs/>
          <w:sz w:val="24"/>
          <w:szCs w:val="24"/>
        </w:rPr>
        <w:t>Estado:</w:t>
      </w:r>
      <w:r>
        <w:rPr>
          <w:rFonts w:cs="Arial" w:ascii="Arial" w:hAnsi="Arial"/>
          <w:sz w:val="24"/>
          <w:szCs w:val="24"/>
        </w:rPr>
        <w:t xml:space="preserve"> ....................... </w:t>
      </w:r>
      <w:r>
        <w:rPr>
          <w:rFonts w:cs="Arial" w:ascii="Arial" w:hAnsi="Arial"/>
          <w:b/>
          <w:bCs/>
          <w:sz w:val="24"/>
          <w:szCs w:val="24"/>
        </w:rPr>
        <w:t xml:space="preserve">CEP: </w:t>
      </w:r>
      <w:r>
        <w:rPr>
          <w:rFonts w:cs="Arial" w:ascii="Arial" w:hAnsi="Arial"/>
          <w:sz w:val="24"/>
          <w:szCs w:val="24"/>
        </w:rPr>
        <w:t>...................................</w:t>
      </w:r>
      <w:r>
        <w:rPr>
          <w:rFonts w:cs="Arial" w:ascii="Arial" w:hAnsi="Arial"/>
          <w:b/>
          <w:bCs/>
          <w:sz w:val="24"/>
          <w:szCs w:val="24"/>
        </w:rPr>
        <w:t xml:space="preserve"> Telefone:</w:t>
      </w:r>
      <w:r>
        <w:rPr>
          <w:rFonts w:cs="Arial" w:ascii="Arial" w:hAnsi="Arial"/>
          <w:sz w:val="24"/>
          <w:szCs w:val="24"/>
        </w:rPr>
        <w:t xml:space="preserve"> 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CNPJ:</w:t>
      </w:r>
      <w:r>
        <w:rPr>
          <w:rFonts w:cs="Arial" w:ascii="Arial" w:hAnsi="Arial"/>
          <w:sz w:val="24"/>
          <w:szCs w:val="24"/>
        </w:rPr>
        <w:t xml:space="preserve"> ........................................................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Estadual:</w:t>
      </w:r>
      <w:r>
        <w:rPr>
          <w:rFonts w:cs="Arial" w:ascii="Arial" w:hAnsi="Arial"/>
          <w:sz w:val="24"/>
          <w:szCs w:val="24"/>
        </w:rPr>
        <w:t xml:space="preserve">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Municipal:.</w:t>
      </w:r>
      <w:r>
        <w:rPr>
          <w:rFonts w:cs="Arial" w:ascii="Arial" w:hAnsi="Arial"/>
          <w:sz w:val="24"/>
          <w:szCs w:val="24"/>
        </w:rPr>
        <w:t>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:................................................................................………………………….......   </w:t>
      </w:r>
      <w:r>
        <w:rPr>
          <w:rFonts w:cs="Arial" w:ascii="Arial" w:hAnsi="Arial"/>
          <w:b/>
          <w:bCs/>
          <w:sz w:val="24"/>
          <w:szCs w:val="24"/>
        </w:rPr>
        <w:t xml:space="preserve"> FAX:</w:t>
      </w:r>
      <w:r>
        <w:rPr>
          <w:rFonts w:cs="Arial" w:ascii="Arial" w:hAnsi="Arial"/>
          <w:sz w:val="24"/>
          <w:szCs w:val="24"/>
        </w:rPr>
        <w:t>......................................................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Contato</w:t>
      </w:r>
      <w:r>
        <w:rPr>
          <w:rFonts w:cs="Arial" w:ascii="Arial" w:hAnsi="Arial"/>
          <w:sz w:val="24"/>
          <w:szCs w:val="24"/>
        </w:rPr>
        <w:t>:...........................................................</w:t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Especificações</w:t>
      </w:r>
      <w:bookmarkStart w:id="0" w:name="_GoBack"/>
      <w:bookmarkEnd w:id="0"/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276" w:before="0" w:after="0"/>
        <w:ind w:hanging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Arial" w:hAnsi="Arial" w:cstheme="minorHAnsi"/>
          <w:b/>
          <w:bCs/>
          <w:sz w:val="24"/>
          <w:szCs w:val="24"/>
          <w:lang w:bidi="ar-SA"/>
        </w:rPr>
        <w:tab/>
      </w:r>
    </w:p>
    <w:tbl>
      <w:tblPr>
        <w:tblStyle w:val="GradeClara-nfase3"/>
        <w:tblW w:w="1000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3988"/>
        <w:gridCol w:w="947"/>
        <w:gridCol w:w="1305"/>
        <w:gridCol w:w="202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947" w:type="dxa"/>
            <w:tcBorders>
              <w:bottom w:val="single" w:sz="18" w:space="0" w:color="9BBB59"/>
            </w:tcBorders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0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Valor Unit.</w:t>
            </w:r>
          </w:p>
        </w:tc>
        <w:tc>
          <w:tcPr>
            <w:tcW w:w="202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Total</w:t>
            </w:r>
          </w:p>
        </w:tc>
      </w:tr>
      <w:tr>
        <w:trPr>
          <w:trHeight w:val="623" w:hRule="atLeast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398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Manutenção corretiva de Portões de Garagem em alumínio branco conforme medidas abaixo: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                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Portão 1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Medida do vão A 2,95 x L 3,18 m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Kit de Ferragem(branco):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Tubo retangular de alumínio estrutural (tubo reto 2 x 1 ½).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Quadro estrutural do portão em tubo quadrado 3 ½ (PC 10)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Revestimento do quadro em (LB8) lambri liso branco.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 xml:space="preserve">                   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OBS.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Kit motor de portão (basculante) pivotante 1/3 HP aluminio max 3,5m 220V 60 Hz SEG com 2 controles.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 xml:space="preserve">                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Portão 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2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Medida do vão A 3,45 x L 3,06 m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Kit de ferragem(branco):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Tubo retangular de alumínio estrutural (tubo reto 2 x 1 ½).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Quadro e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strutura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l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 xml:space="preserve"> do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p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 xml:space="preserve">ortão em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t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 xml:space="preserve">ubo quadrado 3 ½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 xml:space="preserve">(PC 10) 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pt-BR"/>
              </w:rPr>
              <w:t>Revestimento do quadro em (LB8) lambri liso branco.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both"/>
              <w:rPr>
                <w:rFonts w:ascii="Arial" w:hAnsi="Arial"/>
                <w:b/>
                <w:b/>
                <w:bCs/>
                <w:i w:val="false"/>
                <w:caps w:val="false"/>
                <w:smallCaps w:val="false"/>
                <w:spacing w:val="0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spacing w:val="0"/>
                <w:sz w:val="22"/>
                <w:szCs w:val="22"/>
                <w:lang w:val="pt-BR"/>
              </w:rPr>
              <w:t xml:space="preserve">              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spacing w:val="0"/>
                <w:sz w:val="22"/>
                <w:szCs w:val="22"/>
                <w:lang w:val="pt-BR"/>
              </w:rPr>
              <w:t>OBS.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120"/>
              <w:ind w:left="0" w:right="0" w:hanging="0"/>
              <w:contextualSpacing/>
              <w:jc w:val="left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Kit motor de portão (basculante) pivotante 1/3 HP aluminio max 3,5m 220V 60Hz SEG com 2 controles.</w:t>
            </w:r>
          </w:p>
        </w:tc>
        <w:tc>
          <w:tcPr>
            <w:tcW w:w="947" w:type="dxa"/>
            <w:tcBorders>
              <w:top w:val="double" w:sz="6" w:space="0" w:color="9BBB59"/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5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E8F2A1" w:val="clear"/>
            <w:vAlign w:val="center"/>
          </w:tcPr>
          <w:p>
            <w:pPr>
              <w:pStyle w:val="Contedodatabela"/>
              <w:spacing w:before="0" w:after="120"/>
              <w:ind w:left="0" w:right="0" w:hanging="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02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double" w:sz="6" w:space="0" w:color="9BBB59"/>
              <w:bottom w:val="single" w:sz="18" w:space="0" w:color="9BBB59"/>
            </w:tcBorders>
            <w:shd w:fill="FFFFFF" w:val="clear"/>
            <w:vAlign w:val="center"/>
          </w:tcPr>
          <w:p>
            <w:pPr>
              <w:pStyle w:val="Contedodatabela"/>
              <w:spacing w:before="0" w:after="120"/>
              <w:contextualSpacing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before="0" w:after="0"/>
        <w:ind w:left="0" w:right="0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1 –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</w:rPr>
        <w:t>A prestação de serviço deste contrato terá a duração de 12(doze) meses.</w:t>
      </w: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spacing w:val="0"/>
          <w:sz w:val="22"/>
          <w:szCs w:val="22"/>
        </w:rPr>
        <w:tab/>
        <w:tab/>
      </w:r>
      <w:r>
        <w:rPr>
          <w:rFonts w:ascii="Arial" w:hAnsi="Arial"/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1.1 –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</w:rPr>
        <w:t xml:space="preserve">A CONTRATADA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</w:rPr>
        <w:t>prestará o serviço</w:t>
      </w:r>
      <w:bookmarkStart w:id="1" w:name="_GoBack1"/>
      <w:bookmarkEnd w:id="1"/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</w:rPr>
        <w:t xml:space="preserve"> de manutenção deste objeto, na </w:t>
        <w:tab/>
        <w:tab/>
        <w:t xml:space="preserve">medida do necessário ao atendimento das atividades da CMR, não ultrapas </w:t>
        <w:tab/>
        <w:tab/>
        <w:t>sando o preço estimado pela administração.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bCs/>
          <w:i w:val="false"/>
          <w:caps w:val="false"/>
          <w:smallCaps w:val="false"/>
          <w:spacing w:val="0"/>
          <w:sz w:val="22"/>
          <w:szCs w:val="22"/>
        </w:rPr>
        <w:t>2 -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</w:rPr>
        <w:t xml:space="preserve"> 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</w:rPr>
        <w:t xml:space="preserve">A CONTRATADA deverá prestar assistência técnica no prazo máximo de 24 (vinte e quatro) horas, após contato telefônico ou via email da 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val="pt-BR"/>
        </w:rPr>
        <w:t>Secreta ria Geral de Administração.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b/>
          <w:b/>
        </w:rPr>
      </w:pPr>
      <w:r>
        <w:rPr>
          <w:rFonts w:cs="Calibri" w:ascii="Arial" w:hAnsi="Arial"/>
          <w:b/>
          <w:bCs/>
          <w:i w:val="false"/>
          <w:caps w:val="false"/>
          <w:smallCaps w:val="false"/>
          <w:spacing w:val="0"/>
          <w:sz w:val="22"/>
          <w:szCs w:val="22"/>
          <w:lang w:val="pt-BR"/>
        </w:rPr>
        <w:t xml:space="preserve">3 - </w:t>
      </w:r>
      <w:r>
        <w:rPr>
          <w:rFonts w:cs="Calibri" w:ascii="Arial" w:hAnsi="Arial"/>
          <w:b w:val="false"/>
          <w:bCs w:val="false"/>
          <w:i w:val="false"/>
          <w:caps w:val="false"/>
          <w:smallCaps w:val="false"/>
          <w:spacing w:val="0"/>
          <w:sz w:val="22"/>
          <w:szCs w:val="22"/>
          <w:lang w:val="pt-BR"/>
        </w:rPr>
        <w:t>A CONTRATADA deverá fornecer e substituir todas as peças, que se fazerem necessárias, do material objeto deste termo, por sua inteira responsabilidade, custeio e em conformidade com as normas e os padrões técnicos legais exigíveis.</w:t>
      </w:r>
    </w:p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Para tanto, nos propomos a fornecer os materiais / executar os serviços pelos preços unitários constantes da planilha de quantitativos e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R$__________________(____________________________________________).</w:t>
      </w:r>
    </w:p>
    <w:p>
      <w:pPr>
        <w:pStyle w:val="Normal"/>
        <w:rPr>
          <w:highlight w:val="yellow"/>
        </w:rPr>
      </w:pPr>
      <w:r>
        <w:rPr>
          <w:rFonts w:ascii="Arial" w:hAnsi="Arial"/>
          <w:sz w:val="24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 w:val="24"/>
          <w:szCs w:val="24"/>
        </w:rPr>
        <w:t>Proposta Comercial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processo 271/21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atendem as especificações mínimas solicitadas e</w:t>
      </w:r>
      <w:r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  <mc:AlternateContent>
          <mc:Choice Requires="wps">
            <w:drawing>
              <wp:anchor behindDoc="0" distT="0" distB="0" distL="112395" distR="112395" simplePos="0" locked="0" layoutInCell="1" allowOverlap="1" relativeHeight="4" wp14:anchorId="7524767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3735" cy="1727835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000" cy="172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2.95pt;height:135.95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Data:____/____/___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Carimbo ou Nome Legível: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52763116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1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4"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4"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 w:val="24"/>
        <w:szCs w:val="24"/>
      </w:rPr>
      <w:tab/>
    </w:r>
    <w:r>
      <w:rPr>
        <w:rStyle w:val="LinkdaInternet"/>
        <w:rFonts w:eastAsia="" w:cs="" w:ascii="Arial" w:hAnsi="Arial"/>
        <w:b/>
        <w:bCs/>
        <w:color w:val="0000FF"/>
        <w:kern w:val="0"/>
        <w:sz w:val="24"/>
        <w:szCs w:val="24"/>
        <w:u w:val="single"/>
        <w:lang w:val="pt-BR" w:eastAsia="en-US" w:bidi="en-US"/>
      </w:rPr>
      <w:t>compras@cmresende.rj.gov.br</w:t>
    </w:r>
    <w:r>
      <w:rPr>
        <w:rFonts w:ascii="Arial" w:hAnsi="Arial"/>
        <w:b/>
        <w:bCs/>
        <w:sz w:val="24"/>
        <w:szCs w:val="24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LibreOffice/6.4.1.2$Windows_X86_64 LibreOffice_project/4d224e95b98b138af42a64d84056446d09082932</Application>
  <Pages>2</Pages>
  <Words>397</Words>
  <Characters>2880</Characters>
  <CharactersWithSpaces>3357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2015-04-13T19:47:00Z</cp:lastPrinted>
  <dcterms:modified xsi:type="dcterms:W3CDTF">2021-06-23T16:53:04Z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