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2"/>
          <w:szCs w:val="32"/>
        </w:rPr>
        <w:t xml:space="preserve">                                  </w:t>
      </w:r>
      <w:r>
        <w:rPr>
          <w:sz w:val="32"/>
          <w:szCs w:val="32"/>
        </w:rPr>
        <w:t>ORÇAMENTO</w:t>
      </w:r>
      <w:r>
        <w:rPr/>
        <w:t xml:space="preserve"> (Processo </w:t>
      </w:r>
      <w:r>
        <w:rPr/>
        <w:t>474</w:t>
      </w:r>
      <w:r>
        <w:rPr/>
        <w:t>/21)</w:t>
      </w:r>
    </w:p>
    <w:p>
      <w:pPr>
        <w:pStyle w:val="Ttulo1"/>
        <w:rPr/>
      </w:pPr>
      <w:r>
        <w:rPr/>
      </w:r>
    </w:p>
    <w:p>
      <w:pPr>
        <w:pStyle w:val="Ttulo1"/>
        <w:rPr/>
      </w:pPr>
      <w:r>
        <w:rPr/>
        <w:t>Dados da empresa: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 xml:space="preserve">Firma Proponente: 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......................................................................................…………............................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 xml:space="preserve">Endereço: 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Cidade: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Estado:</w:t>
      </w:r>
      <w:r>
        <w:rPr>
          <w:rFonts w:cs="Calibri" w:ascii="Calibri" w:hAnsi="Calibri" w:asciiTheme="minorHAnsi" w:cstheme="minorHAnsi" w:hAnsiTheme="minorHAnsi"/>
          <w:sz w:val="22"/>
        </w:rPr>
        <w:t>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CEP:</w:t>
      </w:r>
      <w:r>
        <w:rPr>
          <w:rFonts w:cs="Calibri" w:ascii="Calibri" w:hAnsi="Calibri" w:asciiTheme="minorHAnsi" w:cstheme="minorHAnsi" w:hAnsiTheme="minorHAnsi"/>
          <w:sz w:val="22"/>
        </w:rPr>
        <w:t>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Telefone: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CNPJ: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Insc.Estadual:</w:t>
      </w:r>
      <w:r>
        <w:rPr>
          <w:rFonts w:cs="Calibri" w:ascii="Calibri" w:hAnsi="Calibri" w:asciiTheme="minorHAnsi" w:cstheme="minorHAnsi" w:hAnsiTheme="minorHAnsi"/>
          <w:sz w:val="22"/>
        </w:rPr>
        <w:t>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Insc.Municipal:.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</w:t>
      </w:r>
    </w:p>
    <w:p>
      <w:pPr>
        <w:pStyle w:val="Normal"/>
        <w:ind w:hanging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</w:rPr>
        <w:t>Email</w:t>
      </w:r>
      <w:r>
        <w:rPr>
          <w:rFonts w:cs="Calibri" w:ascii="Calibri" w:hAnsi="Calibri" w:asciiTheme="minorHAnsi" w:cstheme="minorHAnsi" w:hAnsiTheme="minorHAnsi"/>
          <w:sz w:val="22"/>
        </w:rPr>
        <w:t>:....................................................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FAX: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Contato</w:t>
      </w:r>
      <w:r>
        <w:rPr>
          <w:rFonts w:cs="Calibri" w:ascii="Calibri" w:hAnsi="Calibri" w:asciiTheme="minorHAnsi" w:cstheme="minorHAnsi" w:hAnsiTheme="minorHAnsi"/>
          <w:sz w:val="22"/>
        </w:rPr>
        <w:t>:...........................................</w:t>
      </w:r>
    </w:p>
    <w:p>
      <w:pPr>
        <w:pStyle w:val="Ttulo1"/>
        <w:rPr/>
      </w:pPr>
      <w:r>
        <w:rPr/>
        <w:t>Das Especificações:</w:t>
      </w:r>
    </w:p>
    <w:p>
      <w:pPr>
        <w:pStyle w:val="Textbody"/>
        <w:ind w:hanging="0"/>
        <w:rPr/>
      </w:pPr>
      <w:r>
        <w:rPr/>
        <w:t xml:space="preserve">O objeto do presente pedido é o </w:t>
      </w:r>
      <w:r>
        <w:rPr>
          <w:b/>
          <w:bCs/>
        </w:rPr>
        <w:t xml:space="preserve">registro de preços para a compra de equipamentos e periféricos de informática </w:t>
      </w:r>
      <w:r>
        <w:rPr/>
        <w:t>pelo período de</w:t>
      </w:r>
      <w:r>
        <w:rPr>
          <w:b/>
          <w:bCs/>
        </w:rPr>
        <w:t xml:space="preserve"> 06 (</w:t>
      </w:r>
      <w:r>
        <w:rPr>
          <w:i/>
          <w:iCs/>
        </w:rPr>
        <w:t>seis</w:t>
      </w:r>
      <w:r>
        <w:rPr>
          <w:b/>
          <w:bCs/>
        </w:rPr>
        <w:t>) meses</w:t>
      </w:r>
      <w:r>
        <w:rPr/>
        <w:t xml:space="preserve"> de acordo com as especificações contidas neste detalhamento.</w:t>
      </w:r>
    </w:p>
    <w:p>
      <w:pPr>
        <w:pStyle w:val="Caption"/>
        <w:keepNext w:val="true"/>
        <w:tabs>
          <w:tab w:val="clear" w:pos="708"/>
          <w:tab w:val="center" w:pos="5244" w:leader="none"/>
        </w:tabs>
        <w:ind w:hanging="0"/>
        <w:rPr/>
      </w:pPr>
      <w:r>
        <w:rPr/>
        <w:t xml:space="preserve">Tabela </w:t>
      </w:r>
      <w:r>
        <w:rPr/>
        <w:fldChar w:fldCharType="begin"/>
      </w:r>
      <w:r>
        <w:rPr/>
        <w:instrText> SEQ Tabela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: Descrição dos bens</w:t>
      </w:r>
    </w:p>
    <w:tbl>
      <w:tblPr>
        <w:tblW w:w="9575" w:type="dxa"/>
        <w:jc w:val="left"/>
        <w:tblInd w:w="-47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87"/>
        <w:gridCol w:w="4220"/>
        <w:gridCol w:w="567"/>
        <w:gridCol w:w="401"/>
        <w:gridCol w:w="1750"/>
        <w:gridCol w:w="2149"/>
      </w:tblGrid>
      <w:tr>
        <w:trPr>
          <w:tblHeader w:val="true"/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Item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DESCRIÇÃO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QTDE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14"/>
                <w:szCs w:val="14"/>
                <w:lang w:eastAsia="pt-BR" w:bidi="ar-SA"/>
              </w:rPr>
              <w:t>UND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kern w:val="0"/>
                <w:sz w:val="14"/>
                <w:szCs w:val="14"/>
                <w:lang w:val="pt-BR" w:eastAsia="pt-BR" w:bidi="ar-SA"/>
              </w:rPr>
              <w:t>UNITÁRIO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14"/>
                <w:szCs w:val="14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kern w:val="0"/>
                <w:sz w:val="14"/>
                <w:szCs w:val="14"/>
                <w:lang w:val="pt-BR" w:eastAsia="pt-BR" w:bidi="ar-SA"/>
              </w:rPr>
              <w:t>VALOR TOTAL</w:t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COMPUTADOR ALL-IN-ONE</w:t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- Características Mínimas: Tela de no mínimo 23”. Processador Intel Core i5, AMD Ryzen 5, equivalentes (os equipamentos devem apresentar a última versão de mercado destes processadores, não aceitaremos versões já descontinuadas ou em processo de serem descontinuadas) ou superior. Clock 4GHz (Turbo). 08 GB Memória RAM DDR-4. SSD 256GB. Mínimo de 0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3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 xml:space="preserve"> portas USB sendo pelo menos 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uma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 xml:space="preserve"> dessas portas USB 3.0. Interface de rede Gigabit RJ-45 (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1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 xml:space="preserve">0/100/1000). Tecnologia de comunicação: Bluetooth, Wi-Fi, USB, HDMI. Webcam. Interface de vídeo: 2 portas HDMI, uma de entrada e uma de saída. Mouse e Teclado sem fio com dongle único sendo o mouse com 2 botões e rodinha de rolar (scroll) e teclado ABNT2 107 teclas, conforme layout (Figura 1). Windows 10 PRO instalado OEM. 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 xml:space="preserve">Pacote office 2019 HOME AND BUSNESS ou superior, licença PERPÉTUA instalado. 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Voltagem de entrada 110 ~220 Volts.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NOBREAK</w:t>
              <w:br/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 xml:space="preserve">- Características mínimas: Nobreak 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3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60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watts de potência real ou superior</w:t>
            </w: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  <w:t>. Voltagem de entrada 110~220V. 04 tomadas estabilizadas com proteção de queda de energia padrão NBR 3 pinos 10 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UN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center"/>
              <w:rPr>
                <w:rFonts w:ascii="Arial Narrow" w:hAnsi="Arial Narrow" w:eastAsia="Times New Roman" w:cs="Calibri"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color w:val="000000"/>
                <w:sz w:val="22"/>
                <w:lang w:eastAsia="pt-BR" w:bidi="ar-SA"/>
              </w:rPr>
            </w:r>
          </w:p>
        </w:tc>
      </w:tr>
      <w:tr>
        <w:trPr>
          <w:cantSplit w:val="true"/>
        </w:trPr>
        <w:tc>
          <w:tcPr>
            <w:tcW w:w="48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" w:hAnsi="Arial"/>
                <w:b/>
                <w:bCs/>
                <w:color w:val="000000"/>
                <w:sz w:val="14"/>
                <w:szCs w:val="14"/>
                <w:lang w:eastAsia="pt-BR" w:bidi="ar-SA"/>
              </w:rPr>
              <w:t>Total</w:t>
            </w:r>
          </w:p>
        </w:tc>
        <w:tc>
          <w:tcPr>
            <w:tcW w:w="422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0</w:t>
            </w: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>2</w:t>
            </w: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  <w:t xml:space="preserve"> itens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</w:r>
          </w:p>
        </w:tc>
        <w:tc>
          <w:tcPr>
            <w:tcW w:w="4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right"/>
              <w:rPr>
                <w:rFonts w:ascii="Arial Narrow" w:hAnsi="Arial Narrow" w:eastAsia="Times New Roman" w:cs="Calibri"/>
                <w:b/>
                <w:b/>
                <w:bCs/>
                <w:color w:val="000000"/>
                <w:sz w:val="22"/>
                <w:lang w:eastAsia="pt-BR" w:bidi="ar-SA"/>
              </w:rPr>
            </w:pPr>
            <w:r>
              <w:rPr>
                <w:rFonts w:eastAsia="Times New Roman" w:cs="Calibri" w:ascii="Arial Narrow" w:hAnsi="Arial Narrow"/>
                <w:b/>
                <w:bCs/>
                <w:color w:val="000000"/>
                <w:sz w:val="22"/>
                <w:lang w:eastAsia="pt-BR" w:bidi="ar-SA"/>
              </w:rPr>
            </w:r>
          </w:p>
        </w:tc>
        <w:tc>
          <w:tcPr>
            <w:tcW w:w="17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 w:bidi="ar-SA"/>
              </w:rPr>
            </w:r>
          </w:p>
        </w:tc>
        <w:tc>
          <w:tcPr>
            <w:tcW w:w="214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ind w:hanging="0"/>
              <w:contextualSpacing/>
              <w:jc w:val="left"/>
              <w:rPr>
                <w:rFonts w:eastAsia="Times New Roman" w:cs="Times New Roman"/>
                <w:sz w:val="20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 w:bidi="ar-SA"/>
              </w:rPr>
            </w:r>
          </w:p>
        </w:tc>
      </w:tr>
    </w:tbl>
    <w:p>
      <w:pPr>
        <w:pStyle w:val="Textbody"/>
        <w:ind w:hanging="0"/>
        <w:rPr/>
      </w:pPr>
      <w:r>
        <w:rPr/>
      </w:r>
    </w:p>
    <w:p>
      <w:pPr>
        <w:pStyle w:val="Textbody"/>
        <w:ind w:hanging="0"/>
        <w:rPr/>
      </w:pPr>
      <w:bookmarkStart w:id="0" w:name="_Hlk63326718"/>
      <w:r>
        <w:rPr>
          <w:b/>
          <w:bCs/>
        </w:rPr>
        <w:t>1.</w:t>
      </w:r>
      <w:r>
        <w:rPr/>
        <w:t xml:space="preserve"> </w:t>
      </w:r>
      <w:bookmarkEnd w:id="0"/>
      <w:r>
        <w:rPr/>
        <w:t>Durante a vigência da ata de registro de preços, os bens poderão ser solicitados conforme a demanda.</w:t>
      </w:r>
    </w:p>
    <w:p>
      <w:pPr>
        <w:pStyle w:val="Textbody"/>
        <w:ind w:hanging="0"/>
        <w:rPr/>
      </w:pPr>
      <w:r>
        <w:rPr>
          <w:b/>
          <w:bCs/>
        </w:rPr>
        <w:t>2.</w:t>
      </w:r>
      <w:r>
        <w:rPr/>
        <w:t xml:space="preserve"> Os bens deverão ser entregues no prazo de </w:t>
      </w:r>
      <w:r>
        <w:rPr>
          <w:b/>
          <w:bCs/>
        </w:rPr>
        <w:t>15 (</w:t>
      </w:r>
      <w:r>
        <w:rPr>
          <w:i/>
          <w:iCs/>
        </w:rPr>
        <w:t>quinze</w:t>
      </w:r>
      <w:r>
        <w:rPr>
          <w:b/>
          <w:bCs/>
        </w:rPr>
        <w:t>) dias</w:t>
      </w:r>
      <w:r>
        <w:rPr/>
        <w:t xml:space="preserve"> do recebimento da autorização de fornecimento que poderá substituir o Contrato Administrativo na forma do artigo 62, §4º da Lei 8.666/1993.</w:t>
      </w:r>
    </w:p>
    <w:p>
      <w:pPr>
        <w:pStyle w:val="Textbody"/>
        <w:ind w:hanging="0"/>
        <w:rPr/>
      </w:pPr>
      <w:r>
        <w:rPr>
          <w:b/>
          <w:bCs/>
        </w:rPr>
        <w:t xml:space="preserve">3. </w:t>
      </w:r>
      <w:r>
        <w:rPr/>
        <w:t>O prazo de entrega poderá ser prorrogado por uma única vez e por igual período quando surgirem fatos supervenientes e fora do controle do fornecedor.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3.1.</w:t>
      </w:r>
      <w:r>
        <w:rPr/>
        <w:t xml:space="preserve"> O não cumprimento do prazo de entrega previsto no presente termo poderá acarre</w:t>
        <w:tab/>
        <w:t xml:space="preserve">tar a anulação do empenho, bem como a aplicação das penalidades previstas no edital </w:t>
        <w:tab/>
        <w:t xml:space="preserve">e a convocação do fornecedor subsequente, considerando a ordem de classificação do </w:t>
        <w:tab/>
        <w:t>certame e dos preços registrados em Ata.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3.2.</w:t>
      </w:r>
      <w:r>
        <w:rPr/>
        <w:t xml:space="preserve"> O prazo de garantia dos bens deverá ser o mínimo previsto em lei, exceto:</w:t>
      </w:r>
    </w:p>
    <w:p>
      <w:pPr>
        <w:pStyle w:val="Textbody"/>
        <w:ind w:hanging="0"/>
        <w:rPr/>
      </w:pPr>
      <w:r>
        <w:rPr/>
        <w:tab/>
        <w:tab/>
        <w:t>ITENS 01 - garantia mínima de dois anos.</w:t>
      </w:r>
    </w:p>
    <w:p>
      <w:pPr>
        <w:pStyle w:val="Textbody"/>
        <w:ind w:hanging="0"/>
        <w:rPr/>
      </w:pPr>
      <w:r>
        <w:rPr/>
        <w:tab/>
        <w:tab/>
        <w:t>ITEM 0</w:t>
      </w:r>
      <w:r>
        <w:rPr/>
        <w:t>2</w:t>
      </w:r>
      <w:r>
        <w:rPr/>
        <w:t xml:space="preserve"> – garantia mínima de um ano.</w:t>
      </w:r>
    </w:p>
    <w:p>
      <w:pPr>
        <w:pStyle w:val="Textbody"/>
        <w:ind w:hanging="0"/>
        <w:rPr/>
      </w:pPr>
      <w:r>
        <w:rPr/>
        <w:tab/>
      </w:r>
      <w:r>
        <w:rPr>
          <w:b/>
          <w:bCs/>
        </w:rPr>
        <w:t>3.3.</w:t>
      </w:r>
      <w:r>
        <w:rPr/>
        <w:t xml:space="preserve"> Os prazos de garantia previstos neste item poderão ser garantidos pela fabricante </w:t>
        <w:tab/>
        <w:t>ou por seguro garantia sem alteração do custo do bem.</w:t>
      </w:r>
    </w:p>
    <w:p>
      <w:pPr>
        <w:pStyle w:val="Textbody"/>
        <w:ind w:hanging="0"/>
        <w:rPr/>
      </w:pPr>
      <w:r>
        <w:rPr/>
        <w:tab/>
        <w:tab/>
      </w:r>
      <w:r>
        <w:rPr>
          <w:b/>
          <w:bCs/>
        </w:rPr>
        <w:t>3.3.1.</w:t>
      </w:r>
      <w:r>
        <w:rPr/>
        <w:t xml:space="preserve"> Todos os prazos de garantia deverão começar a contar a partir do recebi</w:t>
        <w:tab/>
        <w:tab/>
        <w:t>mento definitivo dos bens.</w:t>
      </w:r>
    </w:p>
    <w:p>
      <w:pPr>
        <w:pStyle w:val="Textbody"/>
        <w:ind w:hanging="0"/>
        <w:rPr/>
      </w:pPr>
      <w:r>
        <w:rPr/>
        <w:tab/>
        <w:tab/>
      </w:r>
      <w:r>
        <w:rPr>
          <w:b/>
          <w:bCs/>
        </w:rPr>
        <w:t>3.3.2</w:t>
      </w:r>
      <w:r>
        <w:rPr/>
        <w:t>. Durante o período de garantia cabe ao FORNECEDOR a retirada e devo</w:t>
        <w:tab/>
        <w:tab/>
        <w:t>lução do bem a fim de encaminhamento a assistência técnica.</w:t>
      </w:r>
    </w:p>
    <w:p>
      <w:pPr>
        <w:pStyle w:val="Textbody"/>
        <w:ind w:hanging="0"/>
        <w:rPr>
          <w:rFonts w:ascii="Arial" w:hAnsi="Arial" w:cs="Times New Roman"/>
          <w:b/>
          <w:b/>
          <w:szCs w:val="24"/>
        </w:rPr>
      </w:pPr>
      <w:r>
        <w:rPr>
          <w:rFonts w:cs="Times New Roman" w:ascii="Arial" w:hAnsi="Arial"/>
          <w:b/>
          <w:szCs w:val="24"/>
        </w:rPr>
      </w:r>
    </w:p>
    <w:p>
      <w:pPr>
        <w:pStyle w:val="Corpodotextorecuado"/>
        <w:ind w:firstLine="709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2"/>
        </w:rPr>
        <w:t>R$__________________(____________________________________________).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Declaro que os serviços e materiais oferecidos nesta 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Proposta Comercial </w:t>
      </w:r>
      <w:r>
        <w:rPr>
          <w:rFonts w:cs="Calibri" w:ascii="Calibri" w:hAnsi="Calibri" w:asciiTheme="minorHAnsi" w:cstheme="minorHAnsi" w:hAnsiTheme="minorHAnsi"/>
          <w:sz w:val="22"/>
        </w:rPr>
        <w:t xml:space="preserve">atendem as especificações mínimas solicitadas no </w:t>
      </w:r>
      <w:r>
        <w:rPr>
          <w:rFonts w:cs="Calibri" w:ascii="Calibri" w:hAnsi="Calibri" w:asciiTheme="minorHAnsi" w:cstheme="minorHAnsi" w:hAnsiTheme="minorHAnsi"/>
          <w:b/>
          <w:bCs/>
          <w:sz w:val="22"/>
        </w:rPr>
        <w:t>Processo 268/2021</w:t>
      </w:r>
      <w:r>
        <w:rPr>
          <w:rFonts w:cs="Calibri" w:ascii="Calibri" w:hAnsi="Calibri" w:asciiTheme="minorHAnsi" w:cstheme="minorHAnsi" w:hAnsiTheme="minorHAnsi"/>
          <w:sz w:val="22"/>
        </w:rPr>
        <w:t xml:space="preserve"> e</w:t>
      </w:r>
      <w:r>
        <w:rPr>
          <w:rFonts w:cs="Calibri" w:ascii="Calibri" w:hAnsi="Calibri" w:asciiTheme="minorHAnsi" w:cstheme="minorHAnsi" w:hAnsiTheme="minorHAnsi"/>
          <w:b/>
          <w:i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estão de acordo com todas as normas e disposições dos órgãos reguladores vigentes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e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>que nos responsabilizamos pelos dados fornecidos a CÂMARA MUNICIPAL DE RESENDE – CMR/RJ, assim como por sua fidedignidade.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highlight w:val="yellow"/>
        </w:rPr>
      </w:pPr>
      <w:r>
        <w:rPr>
          <w:rFonts w:cs="Calibri" w:cstheme="minorHAnsi" w:ascii="Calibri" w:hAnsi="Calibri"/>
          <w:sz w:val="22"/>
          <w:highlight w:val="yellow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4" wp14:anchorId="2911B2A5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3735" cy="1727835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172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rPr>
                                <w:rFonts w:ascii="Calibri" w:hAnsi="Calibri" w:cs="Calibri" w:asciiTheme="minorHAnsi" w:cstheme="minorHAnsi" w:hAnsiTheme="minorHAnsi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cs="Calibri" w:ascii="Calibri" w:hAnsi="Calibri" w:asciiTheme="minorHAnsi" w:cstheme="minorHAnsi" w:hAnsiTheme="minorHAnsi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 w:cstheme="minorHAnsi" w:ascii="Calibri" w:hAnsi="Calibri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alibri" w:hAnsi="Calibri" w:cs="Calibri" w:asciiTheme="minorHAnsi" w:cstheme="minorHAnsi" w:hAnsiTheme="minorHAnsi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45pt;margin-top:0.45pt;width:252.95pt;height:135.95pt" wp14:anchorId="2911B2A5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rPr>
                          <w:rFonts w:ascii="Calibri" w:hAnsi="Calibri" w:cs="Calibri" w:asciiTheme="minorHAnsi" w:cstheme="minorHAnsi" w:hAnsiTheme="minorHAnsi"/>
                          <w:b/>
                          <w:b/>
                          <w:bCs/>
                        </w:rPr>
                      </w:pP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 xml:space="preserve">              </w:t>
                      </w:r>
                      <w:r>
                        <w:rPr>
                          <w:rFonts w:cs="Calibri" w:ascii="Calibri" w:hAnsi="Calibri" w:asciiTheme="minorHAnsi" w:cstheme="minorHAnsi" w:hAnsiTheme="minorHAnsi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>
                          <w:rFonts w:cs="Calibri" w:cstheme="minorHAnsi" w:ascii="Calibri" w:hAnsi="Calibri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alibri" w:hAnsi="Calibri" w:cs="Calibri" w:asciiTheme="minorHAnsi" w:cstheme="minorHAnsi" w:hAnsiTheme="minorHAnsi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i/>
          <w:iCs/>
          <w:sz w:val="22"/>
        </w:rPr>
        <w:t>Data:   _______/____/_________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  <w:t>Assinatura: 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cstheme="minorHAnsi" w:ascii="Calibri" w:hAnsi="Calibri"/>
          <w:i/>
          <w:iCs/>
          <w:sz w:val="22"/>
        </w:rPr>
      </w:r>
    </w:p>
    <w:p>
      <w:pPr>
        <w:pStyle w:val="Normal"/>
        <w:spacing w:before="0" w:after="120"/>
        <w:contextualSpacing/>
        <w:rPr>
          <w:rFonts w:ascii="Calibri" w:hAnsi="Calibri" w:cs="Calibri" w:asciiTheme="minorHAnsi" w:cstheme="minorHAnsi" w:hAnsiTheme="minorHAnsi"/>
          <w:i/>
          <w:i/>
          <w:iCs/>
          <w:sz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</w:rPr>
        <w:t>Carimbo ou Nome Legível: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1003618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2"/>
        <w:szCs w:val="22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2"/>
        <w:szCs w:val="22"/>
      </w:rPr>
      <w:t xml:space="preserve">Pça. </w:t>
    </w:r>
    <w:r>
      <w:rPr>
        <w:rFonts w:ascii="Arial" w:hAnsi="Arial"/>
        <w:b/>
        <w:bCs/>
        <w:sz w:val="22"/>
        <w:szCs w:val="22"/>
      </w:rPr>
      <w:t xml:space="preserve">Dr. </w:t>
    </w:r>
    <w:r>
      <w:rPr>
        <w:rFonts w:ascii="Arial" w:hAnsi="Arial"/>
        <w:b/>
        <w:bCs/>
        <w:sz w:val="22"/>
        <w:szCs w:val="22"/>
      </w:rPr>
      <w:t xml:space="preserve">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Cs w:val="24"/>
      </w:rPr>
      <w:tab/>
    </w:r>
    <w:r>
      <w:rPr>
        <w:rStyle w:val="LinkdaInternet"/>
        <w:rFonts w:ascii="Arial" w:hAnsi="Arial"/>
        <w:b/>
        <w:bCs/>
        <w:color w:val="0000FF"/>
        <w:sz w:val="24"/>
        <w:szCs w:val="24"/>
        <w:u w:val="single"/>
        <w:lang w:val="pt-BR"/>
      </w:rPr>
      <w:t>compras</w:t>
    </w:r>
    <w:r>
      <w:rPr>
        <w:rStyle w:val="LinkdaInternet"/>
        <w:rFonts w:ascii="Arial" w:hAnsi="Arial"/>
        <w:b/>
        <w:bCs/>
        <w:szCs w:val="24"/>
      </w:rPr>
      <w:t>@</w:t>
    </w:r>
    <w:r>
      <w:rPr>
        <w:rStyle w:val="LinkdaInternet"/>
        <w:rFonts w:ascii="Arial" w:hAnsi="Arial"/>
        <w:b/>
        <w:bCs/>
        <w:color w:val="0000FF"/>
        <w:sz w:val="24"/>
        <w:szCs w:val="24"/>
        <w:u w:val="single"/>
        <w:lang w:val="pt-BR"/>
      </w:rPr>
      <w:t>cmresende.rj.gov.</w:t>
    </w:r>
    <w:r>
      <w:rPr>
        <w:rStyle w:val="LinkdaInternet"/>
        <w:rFonts w:ascii="Arial" w:hAnsi="Arial"/>
        <w:b/>
        <w:bCs/>
        <w:szCs w:val="24"/>
      </w:rPr>
      <w:t>br</w:t>
    </w:r>
    <w:r>
      <w:rPr>
        <w:rFonts w:ascii="Arial" w:hAnsi="Arial"/>
        <w:b/>
        <w:bCs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779b"/>
    <w:pPr>
      <w:pBdr>
        <w:bottom w:val="single" w:sz="12" w:space="1" w:color="000000"/>
      </w:pBdr>
      <w:spacing w:lineRule="auto" w:line="240"/>
      <w:ind w:hanging="0"/>
      <w:outlineLvl w:val="0"/>
    </w:pPr>
    <w:rPr>
      <w:rFonts w:ascii="Calibri" w:hAnsi="Calibri" w:eastAsia="" w:cs="Calibri" w:asciiTheme="minorHAnsi" w:cstheme="minorHAnsi" w:eastAsiaTheme="majorEastAsia" w:hAnsiTheme="minorHAns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 w:customStyle="1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79779b"/>
    <w:rPr>
      <w:rFonts w:eastAsia="" w:cs="Calibri" w:cstheme="minorHAnsi" w:eastAsiaTheme="majorEastAsia"/>
      <w:b/>
      <w:bCs/>
      <w:sz w:val="24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Standard" w:customStyle="1">
    <w:name w:val="Standard"/>
    <w:qFormat/>
    <w:rsid w:val="00a23e62"/>
    <w:pPr>
      <w:widowControl/>
      <w:bidi w:val="0"/>
      <w:spacing w:lineRule="auto" w:line="360" w:before="0" w:after="120"/>
      <w:ind w:firstLine="709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t-BR" w:eastAsia="en-US" w:bidi="en-US"/>
    </w:rPr>
  </w:style>
  <w:style w:type="paragraph" w:styleId="Textbody">
    <w:name w:val="Text body"/>
    <w:basedOn w:val="Normal"/>
    <w:qFormat/>
    <w:pPr>
      <w:spacing w:lineRule="auto" w:line="276" w:before="0" w:after="140"/>
      <w:contextualSpacing/>
      <w:textAlignment w:val="baseline"/>
    </w:pPr>
    <w:rPr>
      <w:rFonts w:eastAsia="Times New Roman" w:cs="Times New Roman"/>
    </w:rPr>
  </w:style>
  <w:style w:type="paragraph" w:styleId="Par">
    <w:name w:val="Par´"/>
    <w:basedOn w:val="Textbody"/>
    <w:qFormat/>
    <w:pPr>
      <w:ind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LibreOffice/6.4.1.2$Windows_X86_64 LibreOffice_project/4d224e95b98b138af42a64d84056446d09082932</Application>
  <Pages>2</Pages>
  <Words>580</Words>
  <Characters>3808</Characters>
  <CharactersWithSpaces>4418</CharactersWithSpaces>
  <Paragraphs>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2021-12-02T14:55:50Z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