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widowControl/>
        <w:numPr>
          <w:ilvl w:val="0"/>
          <w:numId w:val="0"/>
        </w:numPr>
        <w:pBdr>
          <w:bottom w:val="single" w:sz="12" w:space="1" w:color="000000"/>
        </w:pBdr>
        <w:suppressAutoHyphens w:val="false"/>
        <w:bidi w:val="0"/>
        <w:spacing w:lineRule="auto" w:line="240" w:before="0" w:after="120"/>
        <w:ind w:left="0" w:hanging="0"/>
        <w:contextualSpacing/>
        <w:outlineLvl w:val="0"/>
        <w:rPr>
          <w:rFonts w:ascii="Times New Roman" w:hAnsi="Times New Roman" w:eastAsia="" w:cs="" w:cstheme="majorBidi" w:eastAsiaTheme="majorEastAsia"/>
          <w:b/>
          <w:b/>
          <w:bCs/>
          <w:color w:val="auto"/>
          <w:kern w:val="0"/>
          <w:sz w:val="24"/>
          <w:szCs w:val="24"/>
          <w:lang w:val="pt-BR" w:eastAsia="en-US" w:bidi="en-US"/>
        </w:rPr>
      </w:pPr>
      <w:r>
        <w:rPr>
          <w:rFonts w:eastAsia="" w:cs="" w:cstheme="majorBidi" w:eastAsiaTheme="majorEastAsia"/>
          <w:b/>
          <w:bCs/>
          <w:color w:val="auto"/>
          <w:kern w:val="0"/>
          <w:lang w:val="pt-BR" w:eastAsia="en-US" w:bidi="en-US"/>
        </w:rPr>
        <w:t xml:space="preserve">                                          </w:t>
      </w:r>
      <w:r>
        <w:rPr>
          <w:rFonts w:eastAsia="" w:cs="" w:cstheme="majorBidi" w:eastAsiaTheme="majorEastAsia"/>
          <w:b/>
          <w:bCs/>
          <w:color w:val="auto"/>
          <w:kern w:val="0"/>
          <w:lang w:val="pt-BR" w:eastAsia="en-US" w:bidi="en-US"/>
        </w:rPr>
        <w:t>ORÇAMENTO(PROC. 379/21)</w:t>
      </w:r>
    </w:p>
    <w:p>
      <w:pPr>
        <w:pStyle w:val="Ttulo1"/>
        <w:widowControl/>
        <w:numPr>
          <w:ilvl w:val="0"/>
          <w:numId w:val="0"/>
        </w:numPr>
        <w:pBdr>
          <w:bottom w:val="single" w:sz="12" w:space="1" w:color="000000"/>
        </w:pBdr>
        <w:suppressAutoHyphens w:val="false"/>
        <w:bidi w:val="0"/>
        <w:spacing w:lineRule="auto" w:line="240" w:before="0" w:after="120"/>
        <w:ind w:left="0" w:hanging="0"/>
        <w:contextualSpacing/>
        <w:jc w:val="both"/>
        <w:outlineLvl w:val="0"/>
        <w:rPr>
          <w:rFonts w:ascii="Times New Roman" w:hAnsi="Times New Roman" w:eastAsia="" w:cs="" w:cstheme="majorBidi" w:eastAsiaTheme="majorEastAsia"/>
          <w:b/>
          <w:b/>
          <w:bCs/>
          <w:color w:val="auto"/>
          <w:kern w:val="0"/>
          <w:lang w:val="pt-BR" w:eastAsia="en-US" w:bidi="en-US"/>
        </w:rPr>
      </w:pPr>
      <w:r>
        <w:rPr>
          <w:rFonts w:eastAsia="" w:cs="" w:cstheme="majorBidi" w:eastAsiaTheme="majorEastAsia"/>
          <w:b/>
          <w:bCs/>
          <w:color w:val="auto"/>
          <w:kern w:val="0"/>
          <w:lang w:val="pt-BR" w:eastAsia="en-US" w:bidi="en-US"/>
        </w:rPr>
      </w:r>
    </w:p>
    <w:p>
      <w:pPr>
        <w:pStyle w:val="Ttulo1"/>
        <w:widowControl/>
        <w:numPr>
          <w:ilvl w:val="0"/>
          <w:numId w:val="0"/>
        </w:numPr>
        <w:pBdr>
          <w:bottom w:val="single" w:sz="12" w:space="1" w:color="000000"/>
        </w:pBdr>
        <w:suppressAutoHyphens w:val="false"/>
        <w:bidi w:val="0"/>
        <w:spacing w:lineRule="auto" w:line="240" w:before="0" w:after="120"/>
        <w:ind w:left="0" w:hanging="0"/>
        <w:contextualSpacing/>
        <w:jc w:val="both"/>
        <w:outlineLvl w:val="0"/>
        <w:rPr>
          <w:rFonts w:ascii="Times New Roman" w:hAnsi="Times New Roman" w:eastAsia="" w:cs="" w:cstheme="majorBidi" w:eastAsiaTheme="majorEastAsia"/>
          <w:b/>
          <w:b/>
          <w:bCs/>
          <w:color w:val="auto"/>
          <w:kern w:val="0"/>
          <w:lang w:val="pt-BR" w:eastAsia="en-US" w:bidi="en-US"/>
        </w:rPr>
      </w:pPr>
      <w:r>
        <w:rPr>
          <w:rFonts w:eastAsia="" w:cs="" w:cstheme="majorBidi" w:eastAsiaTheme="majorEastAsia"/>
          <w:b/>
          <w:bCs/>
          <w:color w:val="auto"/>
          <w:kern w:val="0"/>
          <w:lang w:val="pt-BR" w:eastAsia="en-US" w:bidi="en-US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 xml:space="preserve">Firma Proponente:………………………………………………………………………………………………… 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 xml:space="preserve">Endereço: </w:t>
      </w:r>
      <w:r>
        <w:rPr>
          <w:rFonts w:cs="Arial" w:ascii="Arial Narrow" w:hAnsi="Arial Narrow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 Narrow" w:hAnsi="Arial Narrow"/>
          <w:sz w:val="15"/>
          <w:szCs w:val="15"/>
        </w:rPr>
        <w:t>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Cidade:……………………….Estado:……….CEP:………………...Telefone: ……………………………….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 xml:space="preserve">CNPJ:……………………………….Insc.Estadual:…………………Insc. Municipal:……………………….. </w:t>
        <w:tab/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sz w:val="20"/>
          <w:szCs w:val="20"/>
        </w:rPr>
        <w:t>Contato:…………………………………...</w:t>
      </w:r>
      <w:r>
        <w:rPr>
          <w:rFonts w:cs="Arial" w:ascii="Arial" w:hAnsi="Arial"/>
          <w:sz w:val="20"/>
          <w:szCs w:val="20"/>
        </w:rPr>
        <w:t xml:space="preserve">E-mail:………………………………………………………………. </w:t>
      </w:r>
    </w:p>
    <w:p>
      <w:pPr>
        <w:pStyle w:val="Ttulo1"/>
        <w:widowControl/>
        <w:numPr>
          <w:ilvl w:val="0"/>
          <w:numId w:val="0"/>
        </w:numPr>
        <w:pBdr>
          <w:bottom w:val="single" w:sz="12" w:space="1" w:color="000000"/>
        </w:pBdr>
        <w:suppressAutoHyphens w:val="false"/>
        <w:bidi w:val="0"/>
        <w:spacing w:lineRule="auto" w:line="240" w:before="0" w:after="120"/>
        <w:ind w:left="0" w:hanging="0"/>
        <w:contextualSpacing/>
        <w:outlineLvl w:val="0"/>
        <w:rPr>
          <w:rFonts w:ascii="Times New Roman" w:hAnsi="Times New Roman" w:eastAsia="" w:cs="" w:cstheme="majorBidi" w:eastAsiaTheme="majorEastAsia"/>
          <w:b/>
          <w:b/>
          <w:bCs/>
          <w:color w:val="auto"/>
          <w:kern w:val="0"/>
          <w:sz w:val="24"/>
          <w:szCs w:val="24"/>
          <w:lang w:val="pt-BR" w:eastAsia="en-US" w:bidi="en-US"/>
        </w:rPr>
      </w:pPr>
      <w:r>
        <w:rPr>
          <w:rFonts w:eastAsia="" w:cs="" w:cstheme="majorBidi" w:eastAsiaTheme="majorEastAsia"/>
          <w:b/>
          <w:bCs/>
          <w:color w:val="auto"/>
          <w:kern w:val="0"/>
          <w:sz w:val="24"/>
          <w:szCs w:val="24"/>
          <w:lang w:val="pt-BR" w:eastAsia="en-US" w:bidi="en-US"/>
        </w:rPr>
        <w:t xml:space="preserve">Dos preços: </w:t>
      </w:r>
    </w:p>
    <w:tbl>
      <w:tblPr>
        <w:tblW w:w="90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510"/>
        <w:gridCol w:w="800"/>
        <w:gridCol w:w="996"/>
        <w:gridCol w:w="984"/>
        <w:gridCol w:w="2039"/>
      </w:tblGrid>
      <w:tr>
        <w:trPr/>
        <w:tc>
          <w:tcPr>
            <w:tcW w:w="740" w:type="dxa"/>
            <w:tcBorders/>
            <w:shd w:fill="EEEEEE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3510" w:type="dxa"/>
            <w:tcBorders/>
            <w:shd w:fill="EEEEEE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Descrição Resumida</w:t>
            </w:r>
          </w:p>
        </w:tc>
        <w:tc>
          <w:tcPr>
            <w:tcW w:w="800" w:type="dxa"/>
            <w:tcBorders/>
            <w:shd w:fill="EEEEEE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Unid.</w:t>
            </w:r>
          </w:p>
        </w:tc>
        <w:tc>
          <w:tcPr>
            <w:tcW w:w="996" w:type="dxa"/>
            <w:tcBorders/>
            <w:shd w:fill="EEEEEE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Quant.</w:t>
            </w:r>
          </w:p>
        </w:tc>
        <w:tc>
          <w:tcPr>
            <w:tcW w:w="984" w:type="dxa"/>
            <w:tcBorders/>
            <w:shd w:fill="EEEEEE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Unitário</w:t>
            </w:r>
          </w:p>
        </w:tc>
        <w:tc>
          <w:tcPr>
            <w:tcW w:w="2039" w:type="dxa"/>
            <w:tcBorders/>
            <w:shd w:fill="EEEEEE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Total</w:t>
            </w:r>
          </w:p>
        </w:tc>
      </w:tr>
      <w:tr>
        <w:trPr/>
        <w:tc>
          <w:tcPr>
            <w:tcW w:w="740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 w:cs="Times New Roman"/>
                <w:b/>
                <w:b/>
                <w:bCs/>
                <w:color w:val="000000"/>
                <w:sz w:val="22"/>
                <w:lang w:val="en-US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en-US" w:eastAsia="pt-BR" w:bidi="ar-SA"/>
              </w:rPr>
              <w:t>01</w:t>
            </w:r>
          </w:p>
        </w:tc>
        <w:tc>
          <w:tcPr>
            <w:tcW w:w="3510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 Narrow" w:hAnsi="Arial Narrow" w:eastAsia="Times New Roman" w:cs="Times New Roman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2"/>
                <w:lang w:eastAsia="pt-BR" w:bidi="ar-SA"/>
              </w:rPr>
              <w:t>Eventos diversos</w:t>
            </w:r>
          </w:p>
        </w:tc>
        <w:tc>
          <w:tcPr>
            <w:tcW w:w="800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/>
                <w:color w:val="000000"/>
                <w:sz w:val="22"/>
                <w:lang w:val="en-US" w:eastAsia="pt-BR" w:bidi="ar-SA"/>
              </w:rPr>
              <w:t>200</w:t>
            </w:r>
            <w:r>
              <w:rPr>
                <w:rFonts w:eastAsia="Times New Roman" w:cs="Times New Roman"/>
                <w:color w:val="FF0000"/>
                <w:sz w:val="22"/>
                <w:lang w:val="en-US" w:eastAsia="pt-BR" w:bidi="ar-SA"/>
              </w:rPr>
              <w:t>*</w:t>
            </w:r>
          </w:p>
        </w:tc>
        <w:tc>
          <w:tcPr>
            <w:tcW w:w="996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val="en-US" w:eastAsia="pt-BR" w:bidi="ar-SA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pt-BR" w:bidi="ar-SA"/>
              </w:rPr>
              <w:t>p/p</w:t>
            </w:r>
          </w:p>
        </w:tc>
        <w:tc>
          <w:tcPr>
            <w:tcW w:w="984" w:type="dxa"/>
            <w:tcBorders/>
            <w:shd w:fill="FFFFFF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39" w:type="dxa"/>
            <w:tcBorders/>
            <w:shd w:fill="FFFFFF" w:val="clear"/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 xml:space="preserve">Obs. </w:t>
      </w:r>
      <w:r>
        <w:rPr>
          <w:rFonts w:ascii="Arial" w:hAnsi="Arial"/>
          <w:b/>
          <w:bCs/>
          <w:i/>
          <w:iCs/>
          <w:sz w:val="18"/>
          <w:szCs w:val="18"/>
          <w:u w:val="single"/>
        </w:rPr>
        <w:t>A prestação do serviço será solicitado na medida das necessidades das atividades da CMR, não ultrapassando o preço estimado.</w:t>
      </w:r>
    </w:p>
    <w:p>
      <w:pPr>
        <w:pStyle w:val="Normal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Os contratos que porventura venham a ser formalizados terão duração de 12 (doze) meses e começará a fluir a partir 1º (primeiro) dia útil seguinte ao do recebimento, pela contratada, do Termo de Autorização de Início dos Serviços, a ser emitido pela </w:t>
      </w:r>
      <w:r>
        <w:rPr>
          <w:rFonts w:ascii="Times New Roman" w:hAnsi="Times New Roman"/>
          <w:b/>
          <w:bCs/>
          <w:sz w:val="20"/>
          <w:szCs w:val="20"/>
        </w:rPr>
        <w:t>Câmara Municipal de Resende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EXECUÇÃO DOS SERVIÇOS:</w:t>
      </w:r>
    </w:p>
    <w:p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Os serviços serão executados conforme discriminado abaixo: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>*** EVENTO</w:t>
      </w:r>
      <w:r>
        <w:rPr>
          <w:rFonts w:cs="Times New Roman" w:ascii="Times New Roman" w:hAnsi="Times New Roman"/>
          <w:b/>
          <w:sz w:val="20"/>
          <w:szCs w:val="20"/>
          <w:lang w:val="pt-BR"/>
        </w:rPr>
        <w:t>S DIVERSOS</w:t>
      </w:r>
      <w:r>
        <w:rPr>
          <w:rFonts w:cs="Times New Roman" w:ascii="Times New Roman" w:hAnsi="Times New Roman"/>
          <w:b/>
          <w:sz w:val="20"/>
          <w:szCs w:val="20"/>
        </w:rPr>
        <w:t xml:space="preserve"> - </w:t>
      </w:r>
      <w:r>
        <w:rPr>
          <w:rFonts w:cs="Times New Roman" w:ascii="Times New Roman" w:hAnsi="Times New Roman"/>
          <w:sz w:val="20"/>
          <w:szCs w:val="20"/>
        </w:rPr>
        <w:t xml:space="preserve">Local: dependências da Câmara Municipal </w:t>
        <w:tab/>
        <w:tab/>
        <w:tab/>
        <w:tab/>
        <w:t>de Resende ou outro próprio municipal sem custo de locação.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a) </w:t>
      </w:r>
      <w:r>
        <w:rPr>
          <w:rFonts w:cs="Times New Roman" w:ascii="Times New Roman" w:hAnsi="Times New Roman"/>
          <w:sz w:val="20"/>
          <w:szCs w:val="20"/>
        </w:rPr>
        <w:t>Data: a definir conforme necessidade.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b) </w:t>
      </w:r>
      <w:r>
        <w:rPr>
          <w:rFonts w:cs="Times New Roman" w:ascii="Times New Roman" w:hAnsi="Times New Roman"/>
          <w:sz w:val="20"/>
          <w:szCs w:val="20"/>
        </w:rPr>
        <w:t>Horário: diversos a definir entre 07 e 20 horas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>c)</w:t>
      </w:r>
      <w:r>
        <w:rPr>
          <w:rFonts w:cs="Times New Roman" w:ascii="Times New Roman" w:hAnsi="Times New Roman"/>
          <w:sz w:val="20"/>
          <w:szCs w:val="20"/>
        </w:rPr>
        <w:t xml:space="preserve"> Quantidades estimadas: 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c.1) </w:t>
      </w:r>
      <w:r>
        <w:rPr>
          <w:rFonts w:cs="Times New Roman" w:ascii="Times New Roman" w:hAnsi="Times New Roman"/>
          <w:sz w:val="20"/>
          <w:szCs w:val="20"/>
        </w:rPr>
        <w:t>Mínima por evento: 30 pessoas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c.2) </w:t>
      </w:r>
      <w:r>
        <w:rPr>
          <w:rFonts w:cs="Times New Roman" w:ascii="Times New Roman" w:hAnsi="Times New Roman"/>
          <w:sz w:val="20"/>
          <w:szCs w:val="20"/>
        </w:rPr>
        <w:t>Máxima por evento: 200</w:t>
      </w:r>
      <w:r>
        <w:rPr>
          <w:rFonts w:cs="Times New Roman" w:ascii="Times New Roman" w:hAnsi="Times New Roman"/>
          <w:color w:val="C9211E"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pessoas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>c.3)</w:t>
      </w:r>
      <w:r>
        <w:rPr>
          <w:rFonts w:cs="Times New Roman" w:ascii="Times New Roman" w:hAnsi="Times New Roman"/>
          <w:sz w:val="20"/>
          <w:szCs w:val="20"/>
        </w:rPr>
        <w:t xml:space="preserve"> Total estimado (anual) 2.000 pessoas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d) </w:t>
      </w:r>
      <w:r>
        <w:rPr>
          <w:rFonts w:cs="Times New Roman" w:ascii="Times New Roman" w:hAnsi="Times New Roman"/>
          <w:sz w:val="20"/>
          <w:szCs w:val="20"/>
        </w:rPr>
        <w:t>Estimativa de eventos: 20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>e)</w:t>
      </w:r>
      <w:r>
        <w:rPr>
          <w:rFonts w:cs="Times New Roman" w:ascii="Times New Roman" w:hAnsi="Times New Roman"/>
          <w:sz w:val="20"/>
          <w:szCs w:val="20"/>
        </w:rPr>
        <w:t xml:space="preserve"> Serviço: A contatada </w:t>
      </w:r>
      <w:r>
        <w:rPr>
          <w:rFonts w:cs="Times New Roman" w:ascii="Times New Roman" w:hAnsi="Times New Roman"/>
          <w:sz w:val="20"/>
          <w:szCs w:val="20"/>
          <w:lang w:val="pt-BR"/>
        </w:rPr>
        <w:t xml:space="preserve">ficará encarregada </w:t>
      </w:r>
      <w:r>
        <w:rPr>
          <w:rFonts w:cs="Times New Roman" w:ascii="Times New Roman" w:hAnsi="Times New Roman"/>
          <w:sz w:val="20"/>
          <w:szCs w:val="20"/>
        </w:rPr>
        <w:t>da preparação dos alimen</w:t>
        <w:tab/>
        <w:tab/>
        <w:tab/>
        <w:tab/>
        <w:tab/>
        <w:t>tos e montagem e desmontagem da mesa no local do evento;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pt-BR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>f</w:t>
      </w:r>
      <w:r>
        <w:rPr>
          <w:rFonts w:cs="Times New Roman" w:ascii="Times New Roman" w:hAnsi="Times New Roman"/>
          <w:b/>
          <w:bCs/>
          <w:sz w:val="20"/>
          <w:szCs w:val="20"/>
        </w:rPr>
        <w:t>)</w:t>
      </w:r>
      <w:r>
        <w:rPr>
          <w:rFonts w:cs="Times New Roman" w:ascii="Times New Roman" w:hAnsi="Times New Roman"/>
          <w:sz w:val="20"/>
          <w:szCs w:val="20"/>
        </w:rPr>
        <w:t xml:space="preserve"> Mesa principal: Recoberta com toalha e sobre toalha ondeserá servi</w:t>
        <w:tab/>
        <w:tab/>
        <w:tab/>
        <w:tab/>
        <w:tab/>
        <w:t>do o lanche;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val="pt-BR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>g</w:t>
      </w:r>
      <w:r>
        <w:rPr>
          <w:rFonts w:cs="Times New Roman" w:ascii="Times New Roman" w:hAnsi="Times New Roman"/>
          <w:b/>
          <w:bCs/>
          <w:sz w:val="20"/>
          <w:szCs w:val="20"/>
        </w:rPr>
        <w:t>)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Do coquetel </w:t>
      </w:r>
      <w:r>
        <w:rPr>
          <w:rFonts w:cs="Times New Roman" w:ascii="Times New Roman" w:hAnsi="Times New Roman"/>
          <w:sz w:val="20"/>
          <w:szCs w:val="20"/>
        </w:rPr>
        <w:t>(servidos de acordo com o horário do evento):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pt-BR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>g</w:t>
      </w:r>
      <w:r>
        <w:rPr>
          <w:rFonts w:cs="Times New Roman" w:ascii="Times New Roman" w:hAnsi="Times New Roman"/>
          <w:b/>
          <w:bCs/>
          <w:sz w:val="20"/>
          <w:szCs w:val="20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Quando as 7 às 9 horas, </w:t>
      </w:r>
      <w:r>
        <w:rPr>
          <w:rFonts w:cs="Times New Roman" w:ascii="Times New Roman" w:hAnsi="Times New Roman"/>
          <w:b/>
          <w:sz w:val="20"/>
          <w:szCs w:val="20"/>
        </w:rPr>
        <w:t>CAFÉ DA MANHÃ</w:t>
      </w:r>
      <w:r>
        <w:rPr>
          <w:rFonts w:cs="Times New Roman" w:ascii="Times New Roman" w:hAnsi="Times New Roman"/>
          <w:sz w:val="20"/>
          <w:szCs w:val="20"/>
        </w:rPr>
        <w:t xml:space="preserve"> com: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5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410"/>
        <w:gridCol w:w="2205"/>
      </w:tblGrid>
      <w:tr>
        <w:trPr/>
        <w:tc>
          <w:tcPr>
            <w:tcW w:w="4928" w:type="dxa"/>
            <w:tcBorders>
              <w:top w:val="single" w:sz="8" w:space="0" w:color="000000"/>
              <w:left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Descrição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Variedade</w:t>
            </w:r>
          </w:p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mínima</w:t>
            </w:r>
          </w:p>
        </w:tc>
        <w:tc>
          <w:tcPr>
            <w:tcW w:w="2205" w:type="dxa"/>
            <w:tcBorders>
              <w:top w:val="single" w:sz="8" w:space="0" w:color="000000"/>
              <w:right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Quantidade</w:t>
            </w:r>
          </w:p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Por pessoa</w:t>
            </w:r>
          </w:p>
        </w:tc>
      </w:tr>
      <w:tr>
        <w:trPr/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Pães salgados (francês, milho, Petrópolis, etc.), pães doces (coco, creme, tranças), croissant recheado, biscoitos (recheados, amanteigados, água e sal, etc.)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5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3</w:t>
            </w:r>
          </w:p>
        </w:tc>
      </w:tr>
      <w:tr>
        <w:trPr/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Acompanhamentos (patê, manteiga, margarina, requeijão, queijo prato, presunto, queijo minas frescal)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Suficiente</w:t>
            </w:r>
          </w:p>
        </w:tc>
      </w:tr>
      <w:tr>
        <w:trPr/>
        <w:tc>
          <w:tcPr>
            <w:tcW w:w="4928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Açúcar e adoçante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Ambos</w:t>
            </w:r>
          </w:p>
        </w:tc>
        <w:tc>
          <w:tcPr>
            <w:tcW w:w="2205" w:type="dxa"/>
            <w:tcBorders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Suficiente</w:t>
            </w:r>
          </w:p>
        </w:tc>
      </w:tr>
      <w:tr>
        <w:trPr/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Café; leite; sucos variados (ao menos duas opções); achocolatado; água mineral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Todos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400ml</w:t>
            </w:r>
          </w:p>
        </w:tc>
      </w:tr>
      <w:tr>
        <w:trPr/>
        <w:tc>
          <w:tcPr>
            <w:tcW w:w="49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Refrigerante sendo um necessariamente “zero”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2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true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400ml</w:t>
            </w:r>
          </w:p>
        </w:tc>
      </w:tr>
    </w:tbl>
    <w:p>
      <w:pPr>
        <w:pStyle w:val="Caption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Tabela </w:t>
      </w:r>
      <w:r>
        <w:rPr>
          <w:rFonts w:cs="Times New Roman" w:ascii="Times New Roman" w:hAnsi="Times New Roman"/>
          <w:sz w:val="20"/>
          <w:szCs w:val="20"/>
        </w:rPr>
        <w:fldChar w:fldCharType="begin"/>
      </w:r>
      <w:r>
        <w:rPr>
          <w:sz w:val="20"/>
          <w:szCs w:val="20"/>
          <w:rFonts w:cs="Times New Roman" w:ascii="Times New Roman" w:hAnsi="Times New Roman"/>
        </w:rPr>
        <w:instrText> SEQ Tabela \* ARABIC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sz w:val="20"/>
          <w:szCs w:val="20"/>
          <w:rFonts w:cs="Times New Roman" w:ascii="Times New Roman" w:hAnsi="Times New Roman"/>
        </w:rPr>
        <w:t>1</w:t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>: Comidas e bebidas para café da manhã (Eventos diversos).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t-BR"/>
        </w:rPr>
        <w:tab/>
        <w:tab/>
        <w:tab/>
        <w:tab/>
        <w:t>g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2) </w:t>
      </w:r>
      <w:r>
        <w:rPr>
          <w:rFonts w:cs="Times New Roman" w:ascii="Times New Roman" w:hAnsi="Times New Roman"/>
          <w:sz w:val="20"/>
          <w:szCs w:val="20"/>
        </w:rPr>
        <w:t xml:space="preserve">Quando das 9 as 11 e de 14 as 16 horas, </w:t>
      </w:r>
      <w:r>
        <w:rPr>
          <w:rFonts w:cs="Times New Roman" w:ascii="Times New Roman" w:hAnsi="Times New Roman"/>
          <w:b/>
          <w:sz w:val="20"/>
          <w:szCs w:val="20"/>
        </w:rPr>
        <w:t>LANCHE</w:t>
      </w:r>
      <w:r>
        <w:rPr>
          <w:rFonts w:cs="Times New Roman" w:ascii="Times New Roman" w:hAnsi="Times New Roman"/>
          <w:sz w:val="20"/>
          <w:szCs w:val="20"/>
        </w:rPr>
        <w:t xml:space="preserve"> com: </w:t>
      </w:r>
    </w:p>
    <w:tbl>
      <w:tblPr>
        <w:tblW w:w="946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1985"/>
        <w:gridCol w:w="2695"/>
      </w:tblGrid>
      <w:tr>
        <w:trPr/>
        <w:tc>
          <w:tcPr>
            <w:tcW w:w="4784" w:type="dxa"/>
            <w:tcBorders>
              <w:top w:val="single" w:sz="8" w:space="0" w:color="000000"/>
              <w:left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Descrição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Variedade</w:t>
            </w:r>
          </w:p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mínima</w:t>
            </w:r>
          </w:p>
        </w:tc>
        <w:tc>
          <w:tcPr>
            <w:tcW w:w="2695" w:type="dxa"/>
            <w:tcBorders>
              <w:top w:val="single" w:sz="8" w:space="0" w:color="000000"/>
              <w:right w:val="single" w:sz="8" w:space="0" w:color="000000"/>
            </w:tcBorders>
            <w:shd w:fill="000000" w:val="clear"/>
            <w:vAlign w:val="bottom"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Quantidade</w:t>
            </w:r>
          </w:p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b/>
                <w:b/>
                <w:bCs/>
                <w:color w:val="FFFFFF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 w:val="20"/>
                <w:szCs w:val="20"/>
                <w:lang w:val="pt-BR" w:bidi="ar-SA"/>
              </w:rPr>
              <w:t>Por pessoa</w:t>
            </w:r>
          </w:p>
        </w:tc>
      </w:tr>
      <w:tr>
        <w:trPr/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 xml:space="preserve">Salgadinhos assados (pastel de forno, esfirra, empadinhas, enroladinhos de salsicha, etc.),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sz w:val="20"/>
                <w:szCs w:val="20"/>
                <w:lang w:val="pt-BR" w:bidi="ar-SA"/>
              </w:rPr>
              <w:t xml:space="preserve">minicroissant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recheado, biscoitos (recheados, amanteigados, água e sal, etc.)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5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5</w:t>
            </w:r>
          </w:p>
        </w:tc>
      </w:tr>
      <w:tr>
        <w:trPr/>
        <w:tc>
          <w:tcPr>
            <w:tcW w:w="4784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Acompanhamentos (patê, manteiga, margarina, requeijão, queijo prato, presunto, queijo minas frescal)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4</w:t>
            </w:r>
          </w:p>
        </w:tc>
        <w:tc>
          <w:tcPr>
            <w:tcW w:w="2695" w:type="dxa"/>
            <w:tcBorders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Suficiente</w:t>
            </w:r>
          </w:p>
        </w:tc>
      </w:tr>
      <w:tr>
        <w:trPr/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Açúcar e adoçante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Ambos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Suficiente</w:t>
            </w:r>
          </w:p>
        </w:tc>
      </w:tr>
      <w:tr>
        <w:trPr/>
        <w:tc>
          <w:tcPr>
            <w:tcW w:w="4784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Leite; sucos variados (ao menos duas opções); achocolatado; água mineral;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Todos</w:t>
            </w:r>
          </w:p>
        </w:tc>
        <w:tc>
          <w:tcPr>
            <w:tcW w:w="2695" w:type="dxa"/>
            <w:tcBorders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400ml</w:t>
            </w:r>
          </w:p>
        </w:tc>
      </w:tr>
      <w:tr>
        <w:trPr/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Refrigerante sendo um necessariamente “zero”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2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true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400ml</w:t>
            </w:r>
          </w:p>
        </w:tc>
      </w:tr>
      <w:tr>
        <w:trPr/>
        <w:tc>
          <w:tcPr>
            <w:tcW w:w="47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120"/>
              <w:ind w:left="0" w:right="0" w:hanging="0"/>
              <w:contextualSpacing/>
              <w:jc w:val="both"/>
              <w:rPr>
                <w:rFonts w:eastAsia="Calibri" w:cs="Times New Roman"/>
                <w:b/>
                <w:b/>
                <w:bCs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val="pt-BR" w:bidi="ar-SA"/>
              </w:rPr>
              <w:t>Café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Normal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-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true"/>
              <w:spacing w:before="0" w:after="120"/>
              <w:ind w:left="0" w:right="0" w:hanging="0"/>
              <w:contextualSpacing/>
              <w:jc w:val="center"/>
              <w:rPr>
                <w:rFonts w:eastAsia="Calibri" w:cs="Times New Roman"/>
                <w:lang w:val="pt-BR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t-BR" w:bidi="ar-SA"/>
              </w:rPr>
              <w:t>100ml</w:t>
            </w:r>
          </w:p>
        </w:tc>
      </w:tr>
    </w:tbl>
    <w:p>
      <w:pPr>
        <w:pStyle w:val="Caption"/>
        <w:ind w:hanging="0"/>
        <w:jc w:val="both"/>
        <w:rPr>
          <w:rFonts w:ascii="Arial" w:hAnsi="Arial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Tabela </w:t>
      </w:r>
      <w:r>
        <w:rPr>
          <w:rFonts w:cs="Times New Roman" w:ascii="Times New Roman" w:hAnsi="Times New Roman"/>
          <w:sz w:val="20"/>
          <w:szCs w:val="20"/>
        </w:rPr>
        <w:fldChar w:fldCharType="begin"/>
      </w:r>
      <w:r>
        <w:rPr>
          <w:sz w:val="20"/>
          <w:szCs w:val="20"/>
          <w:rFonts w:cs="Times New Roman" w:ascii="Times New Roman" w:hAnsi="Times New Roman"/>
        </w:rPr>
        <w:instrText> SEQ Tabela \* ARABIC </w:instrText>
      </w:r>
      <w:r>
        <w:rPr>
          <w:sz w:val="20"/>
          <w:szCs w:val="20"/>
          <w:rFonts w:cs="Times New Roman" w:ascii="Times New Roman" w:hAnsi="Times New Roman"/>
        </w:rPr>
        <w:fldChar w:fldCharType="separate"/>
      </w:r>
      <w:r>
        <w:rPr>
          <w:sz w:val="20"/>
          <w:szCs w:val="20"/>
          <w:rFonts w:cs="Times New Roman" w:ascii="Times New Roman" w:hAnsi="Times New Roman"/>
        </w:rPr>
        <w:t>2</w:t>
      </w:r>
      <w:r>
        <w:rPr>
          <w:sz w:val="20"/>
          <w:szCs w:val="20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0"/>
          <w:szCs w:val="20"/>
        </w:rPr>
        <w:t>: Comidas e bebidas para lanche  (Eventos diversos).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Para tanto, nos propomos a fornecer os materiais / executar os serviços pelos preços unitários constantes da planilha de quantitativos e preços unitários acima pelo preço global de: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18"/>
          <w:szCs w:val="18"/>
          <w:u w:val="none"/>
        </w:rPr>
        <w:t xml:space="preserve">R$ 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eastAsia="" w:cs="" w:ascii="Arial" w:hAnsi="Arial" w:cstheme="minorBidi" w:eastAsiaTheme="minorEastAsia"/>
          <w:b w:val="false"/>
          <w:bCs w:val="false"/>
          <w:color w:val="auto"/>
          <w:kern w:val="0"/>
          <w:sz w:val="18"/>
          <w:szCs w:val="18"/>
          <w:u w:val="none"/>
          <w:lang w:val="pt-BR" w:eastAsia="en-US" w:bidi="en-US"/>
        </w:rPr>
        <w:t xml:space="preserve"> </w:t>
      </w:r>
      <w:r>
        <w:rPr>
          <w:rFonts w:ascii="Arial" w:hAnsi="Arial"/>
          <w:b w:val="false"/>
          <w:bCs w:val="false"/>
          <w:sz w:val="18"/>
          <w:szCs w:val="18"/>
          <w:u w:val="none"/>
        </w:rPr>
        <w:t>(</w:t>
      </w:r>
      <w:r>
        <w:rPr>
          <w:rFonts w:eastAsia="" w:cs="" w:ascii="Arial" w:hAnsi="Arial" w:cstheme="minorBidi" w:eastAsiaTheme="minorEastAsia"/>
          <w:b w:val="false"/>
          <w:bCs w:val="false"/>
          <w:color w:val="auto"/>
          <w:kern w:val="0"/>
          <w:sz w:val="18"/>
          <w:szCs w:val="18"/>
          <w:u w:val="none"/>
          <w:lang w:val="pt-BR" w:eastAsia="en-US" w:bidi="en-US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18"/>
          <w:szCs w:val="18"/>
          <w:u w:val="none"/>
        </w:rPr>
        <w:t>).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Arial" w:hAnsi="Arial" w:cstheme="minorHAnsi"/>
          <w:sz w:val="18"/>
          <w:szCs w:val="18"/>
        </w:rPr>
        <w:t xml:space="preserve">Declaro que os serviços e materiais oferecidos nesta </w:t>
      </w:r>
      <w:r>
        <w:rPr>
          <w:rFonts w:cs="Calibri" w:ascii="Arial" w:hAnsi="Arial" w:cstheme="minorHAnsi"/>
          <w:b/>
          <w:i/>
          <w:sz w:val="18"/>
          <w:szCs w:val="18"/>
        </w:rPr>
        <w:t xml:space="preserve">Proposta Comercial </w:t>
      </w:r>
      <w:r>
        <w:rPr>
          <w:rFonts w:cs="Calibri" w:ascii="Arial" w:hAnsi="Arial" w:cstheme="minorHAnsi"/>
          <w:sz w:val="18"/>
          <w:szCs w:val="18"/>
        </w:rPr>
        <w:t xml:space="preserve">atendem as especificações mínimas solicitadas no </w:t>
      </w:r>
      <w:r>
        <w:rPr>
          <w:rFonts w:cs="Calibri" w:ascii="Arial" w:hAnsi="Arial" w:cstheme="minorHAnsi"/>
          <w:b/>
          <w:bCs/>
          <w:sz w:val="18"/>
          <w:szCs w:val="18"/>
        </w:rPr>
        <w:t>proc. 379/21</w:t>
      </w:r>
      <w:r>
        <w:rPr>
          <w:rFonts w:cs="Calibri" w:ascii="Arial" w:hAnsi="Arial" w:cstheme="minorHAnsi"/>
          <w:sz w:val="18"/>
          <w:szCs w:val="18"/>
        </w:rPr>
        <w:t xml:space="preserve"> e</w:t>
      </w:r>
      <w:r>
        <w:rPr>
          <w:rFonts w:cs="Calibri" w:ascii="Arial" w:hAnsi="Arial" w:cstheme="minorHAnsi"/>
          <w:b/>
          <w:i/>
          <w:sz w:val="18"/>
          <w:szCs w:val="18"/>
        </w:rPr>
        <w:t xml:space="preserve"> </w:t>
      </w:r>
      <w:r>
        <w:rPr>
          <w:rFonts w:cs="Calibri" w:ascii="Arial" w:hAnsi="Arial" w:cstheme="minorHAnsi"/>
          <w:sz w:val="18"/>
          <w:szCs w:val="18"/>
        </w:rPr>
        <w:t>estão de acordo com todas as normas e disposições dos órgãos reguladores vigentes</w:t>
      </w:r>
      <w:r>
        <w:rPr>
          <w:rFonts w:cs="Calibri" w:ascii="Arial" w:hAnsi="Arial" w:cstheme="minorHAnsi"/>
          <w:b/>
          <w:sz w:val="18"/>
          <w:szCs w:val="18"/>
        </w:rPr>
        <w:t xml:space="preserve"> </w:t>
      </w:r>
      <w:r>
        <w:rPr>
          <w:rFonts w:cs="Calibri" w:ascii="Arial" w:hAnsi="Arial" w:cstheme="minorHAnsi"/>
          <w:sz w:val="18"/>
          <w:szCs w:val="18"/>
        </w:rPr>
        <w:t>e</w:t>
      </w:r>
      <w:r>
        <w:rPr>
          <w:rFonts w:cs="Calibri" w:ascii="Arial" w:hAnsi="Arial" w:cstheme="minorHAnsi"/>
          <w:b/>
          <w:sz w:val="18"/>
          <w:szCs w:val="18"/>
        </w:rPr>
        <w:t xml:space="preserve"> </w:t>
      </w:r>
      <w:r>
        <w:rPr>
          <w:rFonts w:cs="Calibri" w:ascii="Arial" w:hAnsi="Arial" w:cstheme="minorHAnsi"/>
          <w:sz w:val="18"/>
          <w:szCs w:val="18"/>
        </w:rPr>
        <w:t>que nos responsabilizamos pelos dados fornecidos a CÂMARA MUNICIPAL DE RESENDE – CMR/RJ, assim como por sua fidedignidade.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/>
          <w:i/>
          <w:iCs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2" wp14:anchorId="3F330F28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08020" cy="1722120"/>
                <wp:effectExtent l="9525" t="13970" r="9525" b="508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40" cy="172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45pt;margin-top:0.45pt;width:252.5pt;height:135.5pt" wp14:anchorId="3F330F2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i/>
          <w:iCs/>
        </w:rPr>
        <w:t>Data:____/____/____.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Assinatura: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hanging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i/>
          <w:iCs/>
        </w:rPr>
        <w:t>Carimbo ou nome legível: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1962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imes New Roman">
    <w:charset w:val="01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2306909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/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1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numPr>
        <w:ilvl w:val="0"/>
        <w:numId w:val="0"/>
      </w:numPr>
      <w:spacing w:lineRule="auto" w:line="240" w:before="0" w:after="0"/>
      <w:ind w:left="0" w:hanging="0"/>
      <w:contextualSpacing/>
      <w:jc w:val="center"/>
      <w:rPr>
        <w:rFonts w:ascii="Algerian" w:hAnsi="Algerian" w:cs="Arial"/>
        <w:sz w:val="40"/>
        <w:szCs w:val="32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2341245</wp:posOffset>
          </wp:positionH>
          <wp:positionV relativeFrom="paragraph">
            <wp:posOffset>-428625</wp:posOffset>
          </wp:positionV>
          <wp:extent cx="465455" cy="40386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>C</w:t>
    </w:r>
    <w:r>
      <w:rPr>
        <w:rFonts w:cs="Arial" w:ascii="Arial" w:hAnsi="Arial"/>
        <w:sz w:val="18"/>
        <w:szCs w:val="18"/>
      </w:rPr>
      <w:t>âmara Municipal de Resende /RJ</w:t>
    </w:r>
  </w:p>
  <w:p>
    <w:pPr>
      <w:pStyle w:val="Cabealho"/>
      <w:numPr>
        <w:ilvl w:val="0"/>
        <w:numId w:val="0"/>
      </w:numPr>
      <w:spacing w:lineRule="auto" w:line="240" w:before="0" w:after="0"/>
      <w:ind w:left="0"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sz w:val="18"/>
        <w:szCs w:val="18"/>
      </w:rPr>
      <w:t>Sede Administrativa</w:t>
    </w:r>
  </w:p>
  <w:p>
    <w:pPr>
      <w:pStyle w:val="Cabealho"/>
      <w:numPr>
        <w:ilvl w:val="0"/>
        <w:numId w:val="0"/>
      </w:numPr>
      <w:spacing w:lineRule="auto" w:line="240" w:before="0" w:after="0"/>
      <w:ind w:left="0" w:hanging="0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" w:hAnsi="Arial"/>
        <w:sz w:val="18"/>
        <w:szCs w:val="18"/>
        <w:lang w:val="pt-BR"/>
      </w:rPr>
      <w:t>Praça Oliveira Botelho</w:t>
    </w:r>
    <w:r>
      <w:rPr>
        <w:rFonts w:ascii="Arial" w:hAnsi="Arial"/>
        <w:sz w:val="18"/>
        <w:szCs w:val="18"/>
      </w:rPr>
      <w:t>, 262 F – Centro – CEP 27.511-120 – Telefone: (24) 3354-9250.</w:t>
    </w:r>
  </w:p>
  <w:p>
    <w:pPr>
      <w:pStyle w:val="Cabealho"/>
      <w:numPr>
        <w:ilvl w:val="0"/>
        <w:numId w:val="0"/>
      </w:numPr>
      <w:tabs>
        <w:tab w:val="clear" w:pos="8504"/>
        <w:tab w:val="center" w:pos="4252" w:leader="none"/>
        <w:tab w:val="right" w:pos="9072" w:leader="none"/>
      </w:tabs>
      <w:spacing w:lineRule="auto" w:line="240" w:before="0" w:after="0"/>
      <w:ind w:left="0" w:hanging="0"/>
      <w:contextualSpacing/>
      <w:rPr>
        <w:rFonts w:ascii="Arial Narrow" w:hAnsi="Arial Narrow"/>
        <w:sz w:val="16"/>
        <w:szCs w:val="16"/>
      </w:rPr>
    </w:pPr>
    <w:hyperlink r:id="rId2">
      <w:r>
        <w:rPr>
          <w:rStyle w:val="LinkdaInternet"/>
          <w:rFonts w:ascii="Arial" w:hAnsi="Arial"/>
          <w:sz w:val="18"/>
          <w:szCs w:val="18"/>
        </w:rPr>
        <w:t>www.cmresende.rj.gov.br</w:t>
      </w:r>
    </w:hyperlink>
    <w:r>
      <w:rPr>
        <w:rFonts w:ascii="Arial" w:hAnsi="Arial"/>
        <w:sz w:val="18"/>
        <w:szCs w:val="18"/>
      </w:rPr>
      <w:tab/>
      <w:tab/>
    </w:r>
    <w:r>
      <w:rPr>
        <w:rStyle w:val="LinkdaInternet"/>
        <w:rFonts w:ascii="Arial" w:hAnsi="Arial"/>
        <w:sz w:val="18"/>
        <w:szCs w:val="18"/>
      </w:rPr>
      <w:t>c</w:t>
    </w:r>
    <w:r>
      <w:rPr>
        <w:rStyle w:val="LinkdaInternet"/>
        <w:rFonts w:eastAsia="" w:cs="" w:ascii="Arial" w:hAnsi="Arial"/>
        <w:color w:val="0000FF"/>
        <w:kern w:val="0"/>
        <w:sz w:val="18"/>
        <w:szCs w:val="18"/>
        <w:u w:val="single"/>
        <w:lang w:val="pt-BR" w:eastAsia="en-US" w:bidi="en-US"/>
      </w:rPr>
      <w:t>ompras</w:t>
    </w:r>
    <w:hyperlink r:id="rId3">
      <w:r>
        <w:rPr>
          <w:rStyle w:val="LinkdaInternet"/>
          <w:rFonts w:ascii="Arial" w:hAnsi="Arial"/>
          <w:sz w:val="18"/>
          <w:szCs w:val="18"/>
        </w:rPr>
        <w:t>@cmresende.rj.gov.br</w:t>
      </w:r>
    </w:hyperlink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jc w:val="left"/>
      <w:outlineLvl w:val="0"/>
    </w:pPr>
    <w:rPr>
      <w:rFonts w:eastAsia="" w:cs="" w:cstheme="majorBidi"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 w:customStyle="1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e34805"/>
    <w:pPr>
      <w:ind w:hanging="0"/>
    </w:pPr>
    <w:rPr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Standard"/>
    <w:qFormat/>
    <w:rsid w:val="00892c23"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892c2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overflowPunct w:val="false"/>
      <w:bidi w:val="0"/>
      <w:spacing w:before="0" w:after="0"/>
      <w:ind w:left="0" w:right="0" w:hanging="0"/>
      <w:jc w:val="left"/>
    </w:pPr>
    <w:rPr>
      <w:rFonts w:ascii="Times New Roman" w:hAnsi="Times New Roman" w:eastAsia="Segoe U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mresende.rj.gov.br/" TargetMode="External"/><Relationship Id="rId3" Type="http://schemas.openxmlformats.org/officeDocument/2006/relationships/hyperlink" Target="mailto:pregoeiro@cmresende,rj.gov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Application>LibreOffice/6.4.1.2$Windows_X86_64 LibreOffice_project/4d224e95b98b138af42a64d84056446d09082932</Application>
  <Pages>2</Pages>
  <Words>519</Words>
  <Characters>3256</Characters>
  <CharactersWithSpaces>3815</CharactersWithSpaces>
  <Paragraphs>93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2018-10-02T17:47:00Z</dcterms:created>
  <dc:creator>Helenice Barreto</dc:creator>
  <dc:description/>
  <dc:language>pt-BR</dc:language>
  <cp:lastModifiedBy/>
  <dcterms:modified xsi:type="dcterms:W3CDTF">2021-10-19T14:30:06Z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