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r>
        <w:rPr/>
        <w:t>ORÇAMENTO</w:t>
      </w:r>
      <w:r>
        <w:rPr>
          <w:sz w:val="20"/>
          <w:szCs w:val="20"/>
        </w:rPr>
        <w:t>(proc.  273/21)</w:t>
      </w:r>
    </w:p>
    <w:p>
      <w:pPr>
        <w:pStyle w:val="Ttulo1"/>
        <w:rPr/>
      </w:pPr>
      <w:r>
        <w:rPr/>
        <w:t>Dados da empresa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Firma/Proponente:....................................................................................................................................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Cidade...........................Estado........CEP:..........................Telefone: 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CNPJ:...............................................Insc.Estadual:...............................Insc.Municipal:............................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E-mail:...............................................................................FAX: ............................Contato:.....................</w:t>
      </w:r>
    </w:p>
    <w:p>
      <w:pPr>
        <w:pStyle w:val="Ttulo1"/>
        <w:rPr/>
      </w:pPr>
      <w:r>
        <w:rPr/>
        <w:t xml:space="preserve">Dos preços </w:t>
      </w:r>
    </w:p>
    <w:p>
      <w:pPr>
        <w:pStyle w:val="ProjetoBsic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2 - </w:t>
      </w:r>
      <w:bookmarkStart w:id="0" w:name="_Toc383530248"/>
      <w:r>
        <w:rPr>
          <w:sz w:val="20"/>
          <w:szCs w:val="20"/>
          <w:u w:val="single"/>
        </w:rPr>
        <w:t>DESCRIÇÃO DO OBJETO</w:t>
      </w:r>
      <w:bookmarkEnd w:id="0"/>
      <w:r>
        <w:rPr>
          <w:sz w:val="20"/>
          <w:szCs w:val="20"/>
        </w:rPr>
        <w:t>:</w:t>
      </w:r>
    </w:p>
    <w:tbl>
      <w:tblPr>
        <w:tblStyle w:val="GradeClara-nfase3"/>
        <w:tblW w:w="9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965"/>
        <w:gridCol w:w="805"/>
        <w:gridCol w:w="962"/>
        <w:gridCol w:w="1475"/>
        <w:gridCol w:w="152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iCs/>
                <w:sz w:val="18"/>
                <w:szCs w:val="18"/>
              </w:rPr>
              <w:t>ITEM</w:t>
            </w:r>
          </w:p>
        </w:tc>
        <w:tc>
          <w:tcPr>
            <w:tcW w:w="396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iCs/>
                <w:sz w:val="20"/>
                <w:szCs w:val="20"/>
              </w:rPr>
              <w:t>DESCRIÇÃO</w:t>
            </w:r>
          </w:p>
        </w:tc>
        <w:tc>
          <w:tcPr>
            <w:tcW w:w="805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Times New Roman"/>
                <w:iCs/>
                <w:sz w:val="22"/>
              </w:rPr>
            </w:pPr>
            <w:r>
              <w:rPr>
                <w:rFonts w:eastAsia="Times New Roman" w:cs="Times New Roman" w:ascii="Arial" w:hAnsi="Arial"/>
                <w:b/>
                <w:bCs/>
                <w:iCs/>
                <w:sz w:val="18"/>
                <w:szCs w:val="18"/>
              </w:rPr>
              <w:t>UNIT</w:t>
            </w:r>
          </w:p>
        </w:tc>
        <w:tc>
          <w:tcPr>
            <w:tcW w:w="9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 w:ascii="Arial" w:hAnsi="Arial"/>
                <w:b/>
                <w:bCs/>
                <w:iCs/>
                <w:sz w:val="18"/>
                <w:szCs w:val="18"/>
              </w:rPr>
              <w:t>QUANT.</w:t>
            </w:r>
          </w:p>
        </w:tc>
        <w:tc>
          <w:tcPr>
            <w:tcW w:w="1475" w:type="dxa"/>
            <w:tcBorders>
              <w:bottom w:val="single" w:sz="18" w:space="0" w:color="9BBB59"/>
            </w:tcBorders>
            <w:shd w:color="auto"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iCs/>
                <w:sz w:val="18"/>
                <w:szCs w:val="18"/>
              </w:rPr>
              <w:t>VALOR UNIT.</w:t>
            </w:r>
          </w:p>
        </w:tc>
        <w:tc>
          <w:tcPr>
            <w:tcW w:w="152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iCs/>
                <w:sz w:val="18"/>
                <w:szCs w:val="18"/>
              </w:rPr>
              <w:t>VALOR TOTAL</w:t>
            </w:r>
          </w:p>
        </w:tc>
      </w:tr>
      <w:tr>
        <w:trPr>
          <w:trHeight w:val="1317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iCs/>
                <w:sz w:val="20"/>
                <w:szCs w:val="20"/>
              </w:rPr>
              <w:t>01</w:t>
            </w:r>
          </w:p>
        </w:tc>
        <w:tc>
          <w:tcPr>
            <w:tcW w:w="396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E8F2A1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 w:bidi="ar-SA"/>
              </w:rPr>
              <w:t>Vidros Laminados refletivos na cor champagne na espessura de 3 mm X 3 mm nas medidas de 0,77 cm por 1.13 cm. Instalação Inclusa. Conforme item 2.1.</w:t>
            </w:r>
          </w:p>
          <w:p>
            <w:pPr>
              <w:pStyle w:val="Normal"/>
              <w:spacing w:lineRule="auto" w:line="240" w:before="0" w:after="0"/>
              <w:ind w:hanging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</w:r>
          </w:p>
        </w:tc>
        <w:tc>
          <w:tcPr>
            <w:tcW w:w="805" w:type="dxa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399" w:after="399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sz w:val="20"/>
                <w:szCs w:val="20"/>
              </w:rPr>
              <w:t>Unid.</w:t>
            </w:r>
          </w:p>
        </w:tc>
        <w:tc>
          <w:tcPr>
            <w:tcW w:w="9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399" w:after="399"/>
              <w:ind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double" w:sz="6" w:space="0" w:color="9BBB59"/>
              <w:bottom w:val="single" w:sz="18" w:space="0" w:color="9BBB59"/>
            </w:tcBorders>
            <w:shd w:color="auto"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52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</w:rPr>
            </w:pPr>
            <w:r>
              <w:rPr>
                <w:rFonts w:eastAsia="" w:cs="Calibri" w:cstheme="minorHAnsi" w:ascii="Calibri" w:hAnsi="Calibri"/>
                <w:b w:val="false"/>
                <w:bCs/>
                <w:sz w:val="22"/>
              </w:rPr>
            </w:r>
          </w:p>
        </w:tc>
      </w:tr>
      <w:tr>
        <w:trPr>
          <w:trHeight w:val="1317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>02</w:t>
            </w:r>
          </w:p>
        </w:tc>
        <w:tc>
          <w:tcPr>
            <w:tcW w:w="396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E8F2A1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 xml:space="preserve">Manutenção da fachada de vidros da Câmara Municipal de Resende.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t-BR" w:bidi="ar-SA"/>
              </w:rPr>
              <w:t>Conforme item 2.2.</w:t>
            </w:r>
          </w:p>
        </w:tc>
        <w:tc>
          <w:tcPr>
            <w:tcW w:w="805" w:type="dxa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399" w:after="399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>Srv.</w:t>
            </w:r>
          </w:p>
        </w:tc>
        <w:tc>
          <w:tcPr>
            <w:tcW w:w="96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399" w:after="399"/>
              <w:ind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Cs/>
                <w:sz w:val="22"/>
              </w:rPr>
            </w:pPr>
            <w:r>
              <w:rPr>
                <w:rFonts w:eastAsia="" w:cs="" w:ascii="Arial" w:hAnsi="Arial" w:cstheme="majorBidi" w:eastAsiaTheme="majorEastAsia"/>
                <w:b w:val="false"/>
                <w:bCs w:val="false"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double" w:sz="6" w:space="0" w:color="9BBB59"/>
              <w:bottom w:val="single" w:sz="18" w:space="0" w:color="9BBB59"/>
            </w:tcBorders>
            <w:shd w:color="auto"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2"/>
              </w:rPr>
            </w:r>
          </w:p>
        </w:tc>
        <w:tc>
          <w:tcPr>
            <w:tcW w:w="1525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</w:rPr>
            </w:pPr>
            <w:r>
              <w:rPr>
                <w:rFonts w:eastAsia="" w:cs="Calibri" w:cstheme="minorHAnsi" w:ascii="Calibri" w:hAnsi="Calibri"/>
                <w:b w:val="false"/>
                <w:bCs/>
                <w:sz w:val="22"/>
              </w:rPr>
            </w:r>
          </w:p>
        </w:tc>
      </w:tr>
    </w:tbl>
    <w:p>
      <w:pPr>
        <w:pStyle w:val="ProjetoBsico"/>
        <w:rPr/>
      </w:pPr>
      <w:r>
        <w:rPr/>
        <w:tab/>
      </w:r>
      <w:r>
        <w:rPr>
          <w:sz w:val="20"/>
          <w:szCs w:val="20"/>
        </w:rPr>
        <w:t xml:space="preserve">2.1 – </w:t>
      </w:r>
      <w:r>
        <w:rPr>
          <w:b w:val="false"/>
          <w:bCs w:val="false"/>
          <w:sz w:val="20"/>
          <w:szCs w:val="20"/>
          <w:u w:val="single"/>
        </w:rPr>
        <w:t>CARACTERÍSTICAS DO OBJETO ITEM 1</w:t>
      </w:r>
      <w:r>
        <w:rPr>
          <w:b w:val="false"/>
          <w:bCs w:val="false"/>
          <w:sz w:val="20"/>
          <w:szCs w:val="20"/>
        </w:rPr>
        <w:t>:</w:t>
      </w:r>
    </w:p>
    <w:p>
      <w:pPr>
        <w:pStyle w:val="Annotationsubject"/>
        <w:rPr>
          <w:rFonts w:ascii="Arial" w:hAnsi="Arial" w:cs="Arial"/>
          <w:b w:val="false"/>
          <w:b w:val="false"/>
          <w:bCs w:val="false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2.1.1 -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Composição de duas chapas de vidro, uma refletiva e outra de float, intercal</w:t>
        <w:tab/>
        <w:tab/>
        <w:t xml:space="preserve">ada com uma película plástica de grande resistência, que apresenta performance no </w:t>
        <w:tab/>
        <w:tab/>
        <w:t>controle da luz e calor.</w:t>
      </w:r>
    </w:p>
    <w:p>
      <w:pPr>
        <w:pStyle w:val="Annotationtext"/>
        <w:ind w:hanging="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sz w:val="22"/>
          <w:szCs w:val="22"/>
          <w:lang w:val="en-US" w:eastAsia="pt-BR"/>
        </w:rPr>
      </w:r>
    </w:p>
    <w:p>
      <w:pPr>
        <w:pStyle w:val="Annotationtext"/>
        <w:spacing w:lineRule="auto" w:line="240"/>
        <w:ind w:hanging="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sz w:val="20"/>
          <w:szCs w:val="20"/>
          <w:lang w:val="en-US" w:eastAsia="pt-BR"/>
        </w:rPr>
        <w:tab/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2.1.2 -</w:t>
      </w:r>
      <w:r>
        <w:rPr>
          <w:rFonts w:cs="Arial" w:ascii="Arial" w:hAnsi="Arial"/>
          <w:sz w:val="20"/>
          <w:szCs w:val="20"/>
          <w:lang w:val="en-US" w:eastAsia="pt-BR"/>
        </w:rPr>
        <w:t xml:space="preserve"> Propriedades:</w:t>
      </w:r>
    </w:p>
    <w:p>
      <w:pPr>
        <w:pStyle w:val="Annotationtext"/>
        <w:spacing w:lineRule="auto" w:line="240"/>
        <w:ind w:hanging="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sz w:val="22"/>
          <w:szCs w:val="22"/>
          <w:lang w:val="en-US" w:eastAsia="pt-BR"/>
        </w:rPr>
      </w:r>
    </w:p>
    <w:p>
      <w:pPr>
        <w:pStyle w:val="Annotationtext"/>
        <w:spacing w:lineRule="auto" w:line="240"/>
        <w:ind w:hanging="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sz w:val="20"/>
          <w:szCs w:val="20"/>
          <w:lang w:val="en-US" w:eastAsia="pt-BR"/>
        </w:rPr>
        <w:tab/>
        <w:tab/>
        <w:tab/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0"/>
          <w:szCs w:val="20"/>
          <w:lang w:val="en-US" w:eastAsia="pt-BR" w:bidi="en-US"/>
        </w:rPr>
        <w:t>a)</w:t>
      </w:r>
      <w:r>
        <w:rPr>
          <w:rFonts w:cs="Arial" w:ascii="Arial" w:hAnsi="Arial"/>
          <w:sz w:val="20"/>
          <w:szCs w:val="20"/>
          <w:lang w:val="en-US" w:eastAsia="pt-BR"/>
        </w:rPr>
        <w:t xml:space="preserve"> Controle acústico para atenuar ruídos externos.</w:t>
      </w:r>
    </w:p>
    <w:p>
      <w:pPr>
        <w:pStyle w:val="Annotationtext"/>
        <w:spacing w:lineRule="auto" w:line="240"/>
        <w:ind w:hanging="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sz w:val="20"/>
          <w:szCs w:val="20"/>
          <w:lang w:val="en-US" w:eastAsia="pt-BR"/>
        </w:rPr>
        <w:tab/>
      </w:r>
      <w:r>
        <w:rPr>
          <w:rFonts w:eastAsia="" w:cs="Arial" w:ascii="Arial" w:hAnsi="Arial" w:eastAsiaTheme="minorEastAsia"/>
          <w:color w:val="auto"/>
          <w:kern w:val="0"/>
          <w:sz w:val="20"/>
          <w:szCs w:val="20"/>
          <w:lang w:val="en-US" w:eastAsia="pt-BR" w:bidi="en-US"/>
        </w:rPr>
        <w:tab/>
        <w:tab/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0"/>
          <w:szCs w:val="20"/>
          <w:lang w:val="en-US" w:eastAsia="pt-BR" w:bidi="en-US"/>
        </w:rPr>
        <w:t>b)</w:t>
      </w:r>
      <w:r>
        <w:rPr>
          <w:rFonts w:cs="Arial" w:ascii="Arial" w:hAnsi="Arial"/>
          <w:sz w:val="20"/>
          <w:szCs w:val="20"/>
          <w:lang w:val="en-US" w:eastAsia="pt-BR"/>
        </w:rPr>
        <w:t xml:space="preserve">  Capacidade de filtrar raios UV.</w:t>
      </w:r>
    </w:p>
    <w:p>
      <w:pPr>
        <w:pStyle w:val="Annotationtex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eastAsia="" w:cs="Arial" w:ascii="Arial" w:hAnsi="Arial" w:eastAsiaTheme="minorEastAsia"/>
          <w:color w:val="auto"/>
          <w:kern w:val="0"/>
          <w:sz w:val="20"/>
          <w:szCs w:val="20"/>
          <w:lang w:val="en-US" w:eastAsia="pt-BR" w:bidi="en-US"/>
        </w:rPr>
        <w:tab/>
        <w:tab/>
      </w:r>
      <w:r>
        <w:rPr>
          <w:rFonts w:eastAsia="" w:cs="Arial" w:ascii="Arial" w:hAnsi="Arial" w:eastAsiaTheme="minorEastAsia"/>
          <w:b/>
          <w:bCs/>
          <w:color w:val="auto"/>
          <w:kern w:val="0"/>
          <w:sz w:val="20"/>
          <w:szCs w:val="20"/>
          <w:lang w:val="en-US" w:eastAsia="pt-BR" w:bidi="en-US"/>
        </w:rPr>
        <w:t>c)</w:t>
      </w:r>
      <w:r>
        <w:rPr>
          <w:rFonts w:eastAsia="" w:cs="Arial" w:ascii="Arial" w:hAnsi="Arial" w:eastAsiaTheme="minorEastAsia"/>
          <w:color w:val="auto"/>
          <w:kern w:val="0"/>
          <w:sz w:val="20"/>
          <w:szCs w:val="20"/>
          <w:lang w:val="en-US" w:eastAsia="pt-BR" w:bidi="en-US"/>
        </w:rPr>
        <w:t xml:space="preserve"> </w:t>
      </w:r>
      <w:r>
        <w:rPr>
          <w:rFonts w:cs="Arial" w:ascii="Arial" w:hAnsi="Arial"/>
          <w:sz w:val="20"/>
          <w:szCs w:val="20"/>
          <w:lang w:val="en-US" w:eastAsia="pt-BR"/>
        </w:rPr>
        <w:t xml:space="preserve">Película plástica para evitar estilhaçamento do vidro em caso de </w:t>
        <w:tab/>
        <w:tab/>
        <w:tab/>
        <w:tab/>
        <w:t>quebra, preservação da área do vão.</w:t>
      </w:r>
    </w:p>
    <w:p>
      <w:pPr>
        <w:pStyle w:val="ProjetoBsico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/>
          <w:sz w:val="20"/>
          <w:szCs w:val="20"/>
          <w:lang w:val="en-US" w:eastAsia="pt-BR"/>
        </w:rPr>
        <w:tab/>
        <w:t xml:space="preserve">2.2 – </w:t>
      </w:r>
      <w:r>
        <w:rPr>
          <w:rFonts w:cs="Arial"/>
          <w:b w:val="false"/>
          <w:bCs w:val="false"/>
          <w:sz w:val="20"/>
          <w:szCs w:val="20"/>
          <w:u w:val="single"/>
          <w:lang w:val="en-US" w:eastAsia="pt-BR"/>
        </w:rPr>
        <w:t>CARACTERÍSTICAS DO OBJETO ITEM 2</w:t>
      </w:r>
      <w:r>
        <w:rPr>
          <w:rFonts w:cs="Arial"/>
          <w:b w:val="false"/>
          <w:bCs w:val="false"/>
          <w:sz w:val="20"/>
          <w:szCs w:val="20"/>
          <w:lang w:val="en-US" w:eastAsia="pt-BR"/>
        </w:rPr>
        <w:t>:</w:t>
      </w:r>
    </w:p>
    <w:p>
      <w:pPr>
        <w:pStyle w:val="Annotationsubjec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2.2.1 -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A manutenção da fachada da sede Administrativa da CMR consiste em:</w:t>
      </w:r>
    </w:p>
    <w:p>
      <w:pPr>
        <w:pStyle w:val="Annotationtex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a)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Localizar possíveis vidros trincados ou quebrados.</w:t>
      </w:r>
    </w:p>
    <w:p>
      <w:pPr>
        <w:pStyle w:val="Annotationtex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b)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Verificar se a estrutura que sustenta os vidros estão firmes.</w:t>
      </w:r>
    </w:p>
    <w:p>
      <w:pPr>
        <w:pStyle w:val="Annotationtex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c)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Se os vidros estão colados inteiramente.</w:t>
      </w:r>
    </w:p>
    <w:p>
      <w:pPr>
        <w:pStyle w:val="Annotationtext"/>
        <w:spacing w:lineRule="auto" w:line="240"/>
        <w:rPr>
          <w:rFonts w:ascii="Arial" w:hAnsi="Arial" w:cs="Arial"/>
          <w:sz w:val="22"/>
          <w:szCs w:val="22"/>
          <w:lang w:val="en-US" w:eastAsia="pt-BR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ab/>
        <w:tab/>
      </w:r>
      <w:r>
        <w:rPr>
          <w:rFonts w:cs="Arial" w:ascii="Arial" w:hAnsi="Arial"/>
          <w:b/>
          <w:bCs/>
          <w:sz w:val="20"/>
          <w:szCs w:val="20"/>
          <w:lang w:val="en-US" w:eastAsia="pt-BR"/>
        </w:rPr>
        <w:t>d)</w:t>
      </w:r>
      <w:r>
        <w:rPr>
          <w:rFonts w:cs="Arial" w:ascii="Arial" w:hAnsi="Arial"/>
          <w:b w:val="false"/>
          <w:bCs w:val="false"/>
          <w:sz w:val="20"/>
          <w:szCs w:val="20"/>
          <w:lang w:val="en-US" w:eastAsia="pt-BR"/>
        </w:rPr>
        <w:t xml:space="preserve"> Se há infiltrações entre os vidros e as estruturas.</w:t>
        <w:tab/>
      </w:r>
    </w:p>
    <w:p>
      <w:pPr>
        <w:pStyle w:val="Corpodotextorecuado"/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>
          <w:rFonts w:cs="Times New Roman" w:ascii="Arial" w:hAnsi="Arial"/>
          <w:b/>
          <w:bCs/>
          <w:i w:val="false"/>
          <w:iCs/>
          <w:sz w:val="20"/>
          <w:szCs w:val="20"/>
        </w:rPr>
        <w:tab/>
      </w:r>
      <w:r>
        <w:rPr>
          <w:rFonts w:cs="Times New Roman" w:ascii="Arial" w:hAnsi="Arial"/>
          <w:b/>
          <w:bCs/>
          <w:i w:val="false"/>
          <w:iCs/>
          <w:sz w:val="20"/>
          <w:szCs w:val="20"/>
        </w:rPr>
        <w:t>2.3</w:t>
      </w: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 xml:space="preserve"> – As empresas </w:t>
      </w:r>
      <w:r>
        <w:rPr>
          <w:rFonts w:eastAsia="" w:cs="Times New Roman" w:ascii="Arial" w:hAnsi="Arial" w:eastAsiaTheme="minorEastAsia"/>
          <w:b w:val="false"/>
          <w:bCs w:val="false"/>
          <w:i w:val="false"/>
          <w:iCs/>
          <w:color w:val="auto"/>
          <w:kern w:val="0"/>
          <w:sz w:val="20"/>
          <w:szCs w:val="20"/>
          <w:lang w:val="pt-BR" w:eastAsia="en-US" w:bidi="en-US"/>
        </w:rPr>
        <w:t>que desejarem, poderão</w:t>
      </w: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 xml:space="preserve"> fazer visita(s) técnica(s) para fornecimento de Or</w:t>
        <w:tab/>
        <w:t>çamentos no endereço e horário constante do item 5.2.</w:t>
        <w:tab/>
      </w: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>Setor de Licitação.</w:t>
      </w:r>
    </w:p>
    <w:p>
      <w:pPr>
        <w:pStyle w:val="Corpodotextorecuado"/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/>
      </w:r>
    </w:p>
    <w:p>
      <w:pPr>
        <w:pStyle w:val="Corpodotextorecuado"/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ab/>
        <w:t>Para tanto, nos propomos a fornecer os materiais pelos preços unitários constantes da planilha de quantitativos acima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 xml:space="preserve"> </w:t>
      </w:r>
      <w:r>
        <w:rPr>
          <w:rFonts w:cs="Times New Roman" w:ascii="Arial" w:hAnsi="Arial"/>
          <w:b w:val="false"/>
          <w:bCs w:val="false"/>
          <w:i w:val="false"/>
          <w:iCs/>
          <w:sz w:val="20"/>
          <w:szCs w:val="20"/>
        </w:rPr>
        <w:t>R$__________________(___________________________________________________________).</w:t>
      </w:r>
    </w:p>
    <w:p>
      <w:pPr>
        <w:pStyle w:val="Normal"/>
        <w:rPr>
          <w:highlight w:val="yellow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Declaro que os serviços e materiais oferecidos nesta </w:t>
      </w:r>
      <w:r>
        <w:rPr>
          <w:rFonts w:ascii="Arial" w:hAnsi="Arial"/>
          <w:b w:val="false"/>
          <w:bCs w:val="false"/>
          <w:i/>
          <w:sz w:val="20"/>
          <w:szCs w:val="20"/>
        </w:rPr>
        <w:t>Proposta Comercial(proc. 273/21)</w:t>
      </w:r>
      <w:r>
        <w:rPr>
          <w:rFonts w:ascii="Arial" w:hAnsi="Arial"/>
          <w:b w:val="false"/>
          <w:bCs w:val="false"/>
          <w:sz w:val="20"/>
          <w:szCs w:val="20"/>
        </w:rPr>
        <w:t>atendem as especificações mínimas solicitadas e</w:t>
      </w:r>
      <w:r>
        <w:rPr>
          <w:rFonts w:ascii="Arial" w:hAnsi="Arial"/>
          <w:b w:val="false"/>
          <w:bCs w:val="false"/>
          <w:i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  <w:t>estão de acordo com todas as normas e disposições dos órgãos reguladores vigentes e que nos responsabilizamos pelos dados fornecidos a CÂMARA MUNICIPAL DE RESENDE – CMR/RJ, assim como por sua fidedignidade.</w:t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b w:val="false"/>
          <w:bCs w:val="false"/>
          <w:i/>
          <w:iCs/>
        </w:rPr>
        <w:t>Data: ____/____/_</w:t>
      </w:r>
      <w:r>
        <w:rPr>
          <w:rFonts w:cs="Courier New" w:ascii="Courier New" w:hAnsi="Courier New"/>
          <w:i/>
          <w:iCs/>
        </w:rPr>
        <w:t>___</w:t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Assinatura: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Carimbo ou Nome Legível:</w:t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ind w:hanging="0"/>
        <w:rPr>
          <w:rFonts w:ascii="Courier New" w:hAnsi="Courier New" w:cs="Courier New"/>
          <w:i/>
          <w:i/>
          <w:i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1940560</wp:posOffset>
                </wp:positionH>
                <wp:positionV relativeFrom="paragraph">
                  <wp:posOffset>146685</wp:posOffset>
                </wp:positionV>
                <wp:extent cx="2192020" cy="95885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20" cy="95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52.8pt;margin-top:11.55pt;width:172.5pt;height:75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Courier New" w:ascii="Courier New" w:hAnsi="Courier New"/>
          <w:i/>
          <w:iCs/>
        </w:rPr>
        <w:t xml:space="preserve">Carimbo CNPJ:  </w:t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ind w:hanging="0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spacing w:before="0" w:after="120"/>
        <w:contextualSpacing/>
        <w:rPr/>
      </w:pPr>
      <w:r>
        <w:rPr/>
      </w:r>
    </w:p>
    <w:p>
      <w:pPr>
        <w:pStyle w:val="NoSpacing"/>
        <w:pBdr/>
        <w:spacing w:before="0" w:after="120"/>
        <w:contextualSpacing/>
        <w:rPr/>
        <w:framePr w:w="23" w:h="195" w:x="0" w:y="-14" w:wrap="auto" w:vAnchor="text" w:hAnchor="margin" w:hRule="exact"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8001240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1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2438400</wp:posOffset>
          </wp:positionH>
          <wp:positionV relativeFrom="margin">
            <wp:posOffset>-1861820</wp:posOffset>
          </wp:positionV>
          <wp:extent cx="652145" cy="648970"/>
          <wp:effectExtent l="0" t="0" r="0" b="0"/>
          <wp:wrapNone/>
          <wp:docPr id="2" name="Imagem 3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t>Câmara Municipal de Resende /RJ</w:t>
    </w:r>
  </w:p>
  <w:p>
    <w:pPr>
      <w:pStyle w:val="Cabealho"/>
      <w:spacing w:lineRule="auto" w:line="240"/>
      <w:rPr>
        <w:rFonts w:ascii="Arial Narrow" w:hAnsi="Arial Narrow"/>
        <w:b/>
        <w:b/>
        <w:sz w:val="18"/>
        <w:szCs w:val="16"/>
      </w:rPr>
    </w:pPr>
    <w:r>
      <w:rPr>
        <w:rFonts w:ascii="Arial Narrow" w:hAnsi="Arial Narrow"/>
        <w:b/>
        <w:sz w:val="18"/>
        <w:szCs w:val="16"/>
      </w:rPr>
      <w:tab/>
      <w:t xml:space="preserve">  Sede Administrativa</w:t>
    </w:r>
  </w:p>
  <w:p>
    <w:pPr>
      <w:pStyle w:val="Rodap"/>
      <w:spacing w:lineRule="auto" w:line="240" w:before="0" w:after="0"/>
      <w:contextualSpacing/>
      <w:rPr/>
    </w:pPr>
    <w:r>
      <w:rPr>
        <w:rFonts w:ascii="Arial Narrow" w:hAnsi="Arial Narrow"/>
        <w:sz w:val="18"/>
        <w:szCs w:val="16"/>
      </w:rPr>
      <w:tab/>
      <w:t xml:space="preserve">         Praça  Dr Oliveira Botelho, 262 – Centro – CEP 27.511-120 – Telefax: (24) 3354-9250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.</w:t>
    </w:r>
  </w:p>
  <w:p>
    <w:pPr>
      <w:pStyle w:val="Cabealho"/>
      <w:tabs>
        <w:tab w:val="clear" w:pos="8504"/>
        <w:tab w:val="center" w:pos="4252" w:leader="none"/>
        <w:tab w:val="right" w:pos="9072" w:leader="none"/>
      </w:tabs>
      <w:spacing w:lineRule="auto" w:line="240" w:before="0" w:after="0"/>
      <w:ind w:hanging="0"/>
      <w:contextualSpacing/>
      <w:rPr>
        <w:rFonts w:ascii="Arial Narrow" w:hAnsi="Arial Narrow"/>
        <w:sz w:val="16"/>
        <w:szCs w:val="16"/>
      </w:rPr>
    </w:pPr>
    <w:hyperlink r:id="rId2">
      <w:r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>
      <w:rPr>
        <w:rFonts w:ascii="Arial Narrow" w:hAnsi="Arial Narrow"/>
        <w:sz w:val="16"/>
        <w:szCs w:val="16"/>
      </w:rPr>
      <w:tab/>
      <w:tab/>
    </w:r>
    <w:hyperlink r:id="rId3">
      <w:r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>
    <w:pPr>
      <w:pStyle w:val="Cabealho"/>
      <w:pBdr>
        <w:top w:val="thickThinSmallGap" w:sz="24" w:space="1" w:color="17365D"/>
      </w:pBdr>
      <w:spacing w:lineRule="auto" w:line="240" w:before="0" w:after="0"/>
      <w:ind w:hanging="0"/>
      <w:contextualSpacing/>
      <w:rPr/>
    </w:pPr>
    <w:r>
      <w:rPr/>
      <w:tab/>
      <w:t xml:space="preserve"> </w:t>
    </w:r>
  </w:p>
</w:hdr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a9a"/>
    <w:pPr>
      <w:pBdr>
        <w:bottom w:val="single" w:sz="12" w:space="1" w:color="000000"/>
      </w:pBdr>
      <w:spacing w:lineRule="auto" w:line="240"/>
      <w:ind w:hanging="0"/>
      <w:outlineLvl w:val="0"/>
    </w:pPr>
    <w:rPr>
      <w:rFonts w:ascii="Calibri" w:hAnsi="Calibri" w:eastAsia="" w:cs="" w:asciiTheme="minorHAnsi" w:cstheme="majorBidi" w:eastAsiaTheme="majorEastAsia" w:hAnsi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c11e5f"/>
    <w:rPr>
      <w:b/>
      <w:sz w:val="16"/>
      <w:szCs w:val="16"/>
      <w:u w:val="single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15a9a"/>
    <w:rPr>
      <w:rFonts w:eastAsia="" w:cs="" w:cstheme="majorBidi" w:eastAsiaTheme="majorEastAsia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244cbe"/>
    <w:rPr>
      <w:rFonts w:ascii="Times New Roman" w:hAnsi="Times New Roman" w:eastAsia="" w:cs="" w:cstheme="majorBidi" w:eastAsiaTheme="majorEastAsia"/>
      <w:b/>
      <w:sz w:val="24"/>
      <w:szCs w:val="24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244cbe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e2ccc"/>
    <w:pPr/>
    <w:rPr>
      <w:b/>
      <w:bCs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c11e5f"/>
    <w:pPr>
      <w:spacing w:lineRule="auto" w:line="240"/>
      <w:ind w:hanging="0"/>
    </w:pPr>
    <w:rPr>
      <w:rFonts w:ascii="Calibri" w:hAnsi="Calibri" w:asciiTheme="minorHAnsi" w:hAnsiTheme="minorHAnsi"/>
      <w:b/>
      <w:sz w:val="16"/>
      <w:szCs w:val="16"/>
      <w:u w:val="single"/>
    </w:rPr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ProjetoBsico">
    <w:name w:val="Projeto Básico"/>
    <w:basedOn w:val="Rodap"/>
    <w:next w:val="Annotationsubject"/>
    <w:qFormat/>
    <w:pPr>
      <w:tabs>
        <w:tab w:val="clear" w:pos="4252"/>
        <w:tab w:val="clear" w:pos="8504"/>
      </w:tabs>
      <w:spacing w:lineRule="auto" w:line="240" w:before="360" w:after="120"/>
      <w:ind w:hanging="0"/>
      <w:contextualSpacing/>
      <w:outlineLvl w:val="0"/>
    </w:pPr>
    <w:rPr>
      <w:rFonts w:ascii="Arial" w:hAnsi="Arial" w:eastAsia="Times New Roman" w:cs="Arial"/>
      <w:b/>
      <w:bCs/>
      <w:sz w:val="22"/>
      <w:lang w:val="en-US" w:eastAsia="pt-BR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mresende.rj.gov.br/" TargetMode="External"/><Relationship Id="rId3" Type="http://schemas.openxmlformats.org/officeDocument/2006/relationships/hyperlink" Target="mailto:compras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C9808-8580-48A1-A525-CFA16D9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LibreOffice/6.4.1.2$Windows_X86_64 LibreOffice_project/4d224e95b98b138af42a64d84056446d09082932</Application>
  <Pages>2</Pages>
  <Words>340</Words>
  <Characters>2653</Characters>
  <CharactersWithSpaces>3007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2018-03-07T17:48:00Z</dcterms:created>
  <dc:creator>Helenice Barreto</dc:creator>
  <dc:description/>
  <dc:language>pt-BR</dc:language>
  <cp:lastModifiedBy/>
  <cp:lastPrinted>2015-04-13T19:47:00Z</cp:lastPrinted>
  <dcterms:modified xsi:type="dcterms:W3CDTF">2021-10-04T15:28:29Z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